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397F5">
      <w:pPr>
        <w:spacing w:before="133" w:line="190" w:lineRule="auto"/>
        <w:ind w:left="16" w:leftChars="0" w:hanging="16" w:hangingChars="5"/>
        <w:jc w:val="center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9"/>
          <w:sz w:val="31"/>
          <w:szCs w:val="31"/>
          <w:lang w:eastAsia="zh-CN"/>
        </w:rPr>
        <w:t>浑源县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林业局惠民惠农</w:t>
      </w:r>
      <w:r>
        <w:rPr>
          <w:rFonts w:hint="eastAsia" w:ascii="微软雅黑" w:hAnsi="微软雅黑" w:eastAsia="微软雅黑" w:cs="微软雅黑"/>
          <w:spacing w:val="9"/>
          <w:sz w:val="31"/>
          <w:szCs w:val="31"/>
          <w:lang w:eastAsia="zh-CN"/>
        </w:rPr>
        <w:t>“</w:t>
      </w:r>
      <w:r>
        <w:rPr>
          <w:rFonts w:hint="eastAsia" w:ascii="微软雅黑" w:hAnsi="微软雅黑" w:eastAsia="微软雅黑" w:cs="微软雅黑"/>
          <w:spacing w:val="9"/>
          <w:sz w:val="31"/>
          <w:szCs w:val="31"/>
          <w:lang w:val="en-US" w:eastAsia="zh-CN"/>
        </w:rPr>
        <w:t>一卡通”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政策清单</w:t>
      </w:r>
    </w:p>
    <w:p w14:paraId="1164BEAE">
      <w:pPr>
        <w:spacing w:before="143" w:line="219" w:lineRule="auto"/>
        <w:ind w:left="77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主管部门：</w:t>
      </w:r>
      <w:r>
        <w:rPr>
          <w:rFonts w:hint="eastAsia" w:ascii="宋体" w:hAnsi="宋体" w:eastAsia="宋体" w:cs="宋体"/>
          <w:b/>
          <w:bCs/>
          <w:spacing w:val="-4"/>
          <w:sz w:val="18"/>
          <w:szCs w:val="18"/>
          <w:lang w:eastAsia="zh-CN"/>
        </w:rPr>
        <w:t>浑源</w: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县林业局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         </w: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联系人及咨询电话：</w:t>
      </w:r>
      <w:r>
        <w:rPr>
          <w:rFonts w:hint="eastAsia" w:ascii="宋体" w:hAnsi="宋体" w:eastAsia="宋体" w:cs="宋体"/>
          <w:b/>
          <w:bCs/>
          <w:spacing w:val="-4"/>
          <w:sz w:val="18"/>
          <w:szCs w:val="18"/>
          <w:lang w:eastAsia="zh-CN"/>
        </w:rPr>
        <w:t>任天阳</w:t>
      </w:r>
      <w:r>
        <w:rPr>
          <w:rFonts w:hint="eastAsia" w:ascii="宋体" w:hAnsi="宋体" w:eastAsia="宋体" w:cs="宋体"/>
          <w:b/>
          <w:bCs/>
          <w:spacing w:val="-4"/>
          <w:sz w:val="18"/>
          <w:szCs w:val="18"/>
          <w:lang w:val="en-US" w:eastAsia="zh-CN"/>
        </w:rPr>
        <w:t xml:space="preserve">   13653529012</w:t>
      </w:r>
    </w:p>
    <w:tbl>
      <w:tblPr>
        <w:tblStyle w:val="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721"/>
        <w:gridCol w:w="1157"/>
        <w:gridCol w:w="970"/>
        <w:gridCol w:w="876"/>
        <w:gridCol w:w="3777"/>
      </w:tblGrid>
      <w:tr w14:paraId="54A84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76" w:type="dxa"/>
            <w:shd w:val="clear" w:color="auto" w:fill="DBE3F4"/>
            <w:textDirection w:val="tbRlV"/>
            <w:vAlign w:val="center"/>
          </w:tcPr>
          <w:p w14:paraId="7FC8470B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序 号</w:t>
            </w:r>
          </w:p>
        </w:tc>
        <w:tc>
          <w:tcPr>
            <w:tcW w:w="721" w:type="dxa"/>
            <w:shd w:val="clear" w:color="auto" w:fill="DBE3F4"/>
            <w:vAlign w:val="center"/>
          </w:tcPr>
          <w:p w14:paraId="4383A553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政策</w:t>
            </w:r>
          </w:p>
          <w:p w14:paraId="22D6E36A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名称</w:t>
            </w:r>
          </w:p>
        </w:tc>
        <w:tc>
          <w:tcPr>
            <w:tcW w:w="1157" w:type="dxa"/>
            <w:shd w:val="clear" w:color="auto" w:fill="DBE3F4"/>
            <w:vAlign w:val="center"/>
          </w:tcPr>
          <w:p w14:paraId="11DC8EEA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政策</w:t>
            </w:r>
          </w:p>
          <w:p w14:paraId="4E1D09A4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依据</w:t>
            </w:r>
          </w:p>
        </w:tc>
        <w:tc>
          <w:tcPr>
            <w:tcW w:w="970" w:type="dxa"/>
            <w:shd w:val="clear" w:color="auto" w:fill="DBE3F4"/>
            <w:vAlign w:val="center"/>
          </w:tcPr>
          <w:p w14:paraId="4F322E9B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补贴</w:t>
            </w:r>
          </w:p>
          <w:p w14:paraId="23C08E09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对象</w:t>
            </w:r>
          </w:p>
        </w:tc>
        <w:tc>
          <w:tcPr>
            <w:tcW w:w="876" w:type="dxa"/>
            <w:shd w:val="clear" w:color="auto" w:fill="DBE3F4"/>
            <w:vAlign w:val="center"/>
          </w:tcPr>
          <w:p w14:paraId="2C65B77E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补助</w:t>
            </w:r>
          </w:p>
          <w:p w14:paraId="76AC915D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标准</w:t>
            </w:r>
          </w:p>
        </w:tc>
        <w:tc>
          <w:tcPr>
            <w:tcW w:w="3777" w:type="dxa"/>
            <w:shd w:val="clear" w:color="auto" w:fill="DBE3F4"/>
            <w:vAlign w:val="center"/>
          </w:tcPr>
          <w:p w14:paraId="4E113D0E">
            <w:pPr>
              <w:pStyle w:val="4"/>
              <w:spacing w:line="287" w:lineRule="auto"/>
              <w:ind w:left="112" w:right="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申领流程</w:t>
            </w:r>
          </w:p>
        </w:tc>
      </w:tr>
      <w:tr w14:paraId="70751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2" w:hRule="atLeast"/>
        </w:trPr>
        <w:tc>
          <w:tcPr>
            <w:tcW w:w="676" w:type="dxa"/>
            <w:vAlign w:val="center"/>
          </w:tcPr>
          <w:p w14:paraId="7C1ACEA1">
            <w:pPr>
              <w:pStyle w:val="4"/>
              <w:spacing w:before="58"/>
              <w:ind w:left="15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0B96743E">
            <w:pPr>
              <w:pStyle w:val="4"/>
              <w:spacing w:before="205" w:line="208" w:lineRule="auto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生态护林员选聘</w:t>
            </w:r>
          </w:p>
        </w:tc>
        <w:tc>
          <w:tcPr>
            <w:tcW w:w="1157" w:type="dxa"/>
            <w:vAlign w:val="center"/>
          </w:tcPr>
          <w:p w14:paraId="5DD1F055">
            <w:pPr>
              <w:pStyle w:val="4"/>
              <w:spacing w:before="58" w:line="219" w:lineRule="auto"/>
              <w:ind w:left="128"/>
              <w:jc w:val="center"/>
              <w:rPr>
                <w:spacing w:val="32"/>
              </w:rPr>
            </w:pPr>
            <w:r>
              <w:rPr>
                <w:spacing w:val="28"/>
              </w:rPr>
              <w:t>国家林业</w:t>
            </w:r>
            <w:r>
              <w:rPr>
                <w:spacing w:val="33"/>
              </w:rPr>
              <w:t>和草原局</w:t>
            </w:r>
            <w:r>
              <w:rPr>
                <w:spacing w:val="32"/>
              </w:rPr>
              <w:t>办公室</w:t>
            </w:r>
          </w:p>
          <w:p w14:paraId="49A36E88">
            <w:pPr>
              <w:pStyle w:val="4"/>
              <w:spacing w:before="58" w:line="219" w:lineRule="auto"/>
              <w:ind w:left="128"/>
              <w:jc w:val="center"/>
              <w:rPr>
                <w:spacing w:val="35"/>
              </w:rPr>
            </w:pPr>
            <w:r>
              <w:rPr>
                <w:spacing w:val="32"/>
              </w:rPr>
              <w:t>财</w:t>
            </w:r>
            <w:r>
              <w:rPr>
                <w:spacing w:val="34"/>
              </w:rPr>
              <w:t>政部办公</w:t>
            </w:r>
            <w:r>
              <w:rPr>
                <w:spacing w:val="35"/>
              </w:rPr>
              <w:t>厅</w:t>
            </w:r>
          </w:p>
          <w:p w14:paraId="6B05326F">
            <w:pPr>
              <w:pStyle w:val="4"/>
              <w:spacing w:before="87" w:line="216" w:lineRule="auto"/>
              <w:ind w:left="108"/>
              <w:jc w:val="center"/>
              <w:rPr>
                <w:rFonts w:hint="eastAsia" w:eastAsia="宋体"/>
                <w:spacing w:val="33"/>
                <w:lang w:eastAsia="zh-CN"/>
              </w:rPr>
            </w:pPr>
            <w:r>
              <w:rPr>
                <w:rFonts w:hint="eastAsia"/>
                <w:spacing w:val="33"/>
                <w:lang w:eastAsia="zh-CN"/>
              </w:rPr>
              <w:t>国家乡村振兴局综合司关于印发《生态护林员管理办法》的通知</w:t>
            </w:r>
          </w:p>
          <w:p w14:paraId="005D0BEB">
            <w:pPr>
              <w:pStyle w:val="4"/>
              <w:spacing w:before="87" w:line="216" w:lineRule="auto"/>
              <w:ind w:left="108"/>
              <w:jc w:val="center"/>
              <w:rPr>
                <w:rFonts w:hint="default" w:eastAsia="宋体"/>
                <w:spacing w:val="33"/>
                <w:lang w:val="en-US" w:eastAsia="zh-CN"/>
              </w:rPr>
            </w:pPr>
            <w:r>
              <w:rPr>
                <w:rFonts w:hint="eastAsia"/>
                <w:spacing w:val="33"/>
                <w:lang w:eastAsia="zh-CN"/>
              </w:rPr>
              <w:t>办规字【</w:t>
            </w:r>
            <w:r>
              <w:rPr>
                <w:rFonts w:hint="eastAsia"/>
                <w:spacing w:val="33"/>
                <w:lang w:val="en-US" w:eastAsia="zh-CN"/>
              </w:rPr>
              <w:t>2021】115号</w:t>
            </w:r>
          </w:p>
          <w:p w14:paraId="55C55655">
            <w:pPr>
              <w:pStyle w:val="4"/>
              <w:spacing w:before="86" w:line="311" w:lineRule="auto"/>
              <w:ind w:left="110" w:right="106"/>
              <w:jc w:val="center"/>
            </w:pPr>
          </w:p>
        </w:tc>
        <w:tc>
          <w:tcPr>
            <w:tcW w:w="970" w:type="dxa"/>
            <w:vAlign w:val="center"/>
          </w:tcPr>
          <w:p w14:paraId="3FBE25C0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5CC4BFB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EDF946B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441296D">
            <w:pPr>
              <w:pStyle w:val="4"/>
              <w:spacing w:before="59" w:line="216" w:lineRule="auto"/>
              <w:ind w:left="115"/>
              <w:jc w:val="center"/>
            </w:pPr>
            <w:r>
              <w:rPr>
                <w:spacing w:val="29"/>
              </w:rPr>
              <w:t>原脱贫户</w:t>
            </w:r>
            <w:r>
              <w:rPr>
                <w:spacing w:val="30"/>
              </w:rPr>
              <w:t>且仍继续</w:t>
            </w:r>
            <w:r>
              <w:rPr>
                <w:spacing w:val="3"/>
              </w:rPr>
              <w:t>享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受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相关</w:t>
            </w:r>
            <w:r>
              <w:rPr>
                <w:spacing w:val="30"/>
              </w:rPr>
              <w:t>扶贫政策</w:t>
            </w:r>
          </w:p>
          <w:p w14:paraId="69DA2568">
            <w:pPr>
              <w:pStyle w:val="4"/>
              <w:spacing w:before="89" w:line="219" w:lineRule="auto"/>
              <w:ind w:left="126"/>
              <w:jc w:val="center"/>
            </w:pPr>
            <w:r>
              <w:rPr>
                <w:spacing w:val="-8"/>
              </w:rPr>
              <w:t>的人群</w:t>
            </w:r>
          </w:p>
        </w:tc>
        <w:tc>
          <w:tcPr>
            <w:tcW w:w="876" w:type="dxa"/>
            <w:vAlign w:val="center"/>
          </w:tcPr>
          <w:p w14:paraId="3E87213F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1F10461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7A5972E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42B299F">
            <w:pPr>
              <w:pStyle w:val="4"/>
              <w:spacing w:before="59" w:line="310" w:lineRule="auto"/>
              <w:ind w:left="130" w:right="120" w:firstLine="47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各乡镇依据管护面积确定人数和资金分配。</w:t>
            </w:r>
          </w:p>
        </w:tc>
        <w:tc>
          <w:tcPr>
            <w:tcW w:w="3777" w:type="dxa"/>
            <w:vAlign w:val="center"/>
          </w:tcPr>
          <w:p w14:paraId="58A27165">
            <w:pPr>
              <w:pStyle w:val="4"/>
              <w:spacing w:line="287" w:lineRule="auto"/>
              <w:ind w:left="112" w:right="108" w:firstLine="10"/>
              <w:jc w:val="both"/>
              <w:rPr>
                <w:spacing w:val="-3"/>
              </w:rPr>
            </w:pPr>
            <w:r>
              <w:rPr>
                <w:spacing w:val="-3"/>
              </w:rPr>
              <w:t>公告：由村两委发布选聘公告，</w:t>
            </w:r>
            <w:r>
              <w:rPr>
                <w:rFonts w:hint="eastAsia"/>
                <w:spacing w:val="-3"/>
                <w:lang w:eastAsia="zh-CN"/>
              </w:rPr>
              <w:t>明确</w:t>
            </w:r>
            <w:r>
              <w:rPr>
                <w:spacing w:val="-3"/>
              </w:rPr>
              <w:t>选聘资格</w:t>
            </w:r>
            <w:r>
              <w:rPr>
                <w:rFonts w:hint="eastAsia"/>
                <w:spacing w:val="-3"/>
                <w:lang w:eastAsia="zh-CN"/>
              </w:rPr>
              <w:t>、</w:t>
            </w:r>
            <w:r>
              <w:rPr>
                <w:spacing w:val="-3"/>
              </w:rPr>
              <w:t>条件、 名额</w:t>
            </w:r>
            <w:r>
              <w:rPr>
                <w:rFonts w:hint="eastAsia"/>
                <w:spacing w:val="-3"/>
                <w:lang w:eastAsia="zh-CN"/>
              </w:rPr>
              <w:t>，</w:t>
            </w:r>
            <w:r>
              <w:rPr>
                <w:spacing w:val="-3"/>
              </w:rPr>
              <w:t>选聘程序、方式及聘用后的劳务关系 ，管护任务</w:t>
            </w:r>
            <w:r>
              <w:rPr>
                <w:rFonts w:hint="eastAsia"/>
                <w:spacing w:val="-3"/>
                <w:lang w:eastAsia="zh-CN"/>
              </w:rPr>
              <w:t>和</w:t>
            </w:r>
            <w:r>
              <w:rPr>
                <w:spacing w:val="-3"/>
              </w:rPr>
              <w:t>报酬</w:t>
            </w:r>
            <w:r>
              <w:rPr>
                <w:rFonts w:hint="eastAsia"/>
                <w:spacing w:val="-3"/>
                <w:lang w:eastAsia="zh-CN"/>
              </w:rPr>
              <w:t>，报名方式和</w:t>
            </w:r>
            <w:r>
              <w:rPr>
                <w:spacing w:val="-3"/>
              </w:rPr>
              <w:t>需要提交的材料等内容。</w:t>
            </w:r>
          </w:p>
          <w:p w14:paraId="29C9389B">
            <w:pPr>
              <w:pStyle w:val="4"/>
              <w:spacing w:line="287" w:lineRule="auto"/>
              <w:ind w:left="112" w:right="108" w:firstLine="10"/>
              <w:jc w:val="both"/>
            </w:pPr>
            <w:r>
              <w:rPr>
                <w:spacing w:val="-3"/>
              </w:rPr>
              <w:t>申报：</w:t>
            </w:r>
            <w:r>
              <w:rPr>
                <w:rFonts w:hint="eastAsia"/>
                <w:spacing w:val="-3"/>
                <w:lang w:eastAsia="zh-CN"/>
              </w:rPr>
              <w:t>个人自愿申请，</w:t>
            </w:r>
            <w:r>
              <w:rPr>
                <w:spacing w:val="-3"/>
              </w:rPr>
              <w:t>村两委接受符合条件者自愿报名，并组织召开村民代表大会</w:t>
            </w:r>
            <w:r>
              <w:rPr>
                <w:spacing w:val="14"/>
              </w:rPr>
              <w:t>确认后报乡镇</w:t>
            </w:r>
            <w:r>
              <w:rPr>
                <w:rFonts w:hint="eastAsia"/>
                <w:spacing w:val="14"/>
                <w:lang w:eastAsia="zh-CN"/>
              </w:rPr>
              <w:t>政</w:t>
            </w:r>
            <w:r>
              <w:rPr>
                <w:spacing w:val="-4"/>
              </w:rPr>
              <w:t>府。</w:t>
            </w:r>
            <w:bookmarkStart w:id="0" w:name="_GoBack"/>
            <w:bookmarkEnd w:id="0"/>
          </w:p>
          <w:p w14:paraId="54D1FE55">
            <w:pPr>
              <w:pStyle w:val="4"/>
              <w:spacing w:line="287" w:lineRule="auto"/>
              <w:ind w:left="112" w:right="108" w:firstLine="10"/>
              <w:jc w:val="both"/>
            </w:pPr>
            <w:r>
              <w:rPr>
                <w:spacing w:val="-3"/>
              </w:rPr>
              <w:t>审核：根据申报材料和选聘</w:t>
            </w:r>
            <w:r>
              <w:rPr>
                <w:spacing w:val="-2"/>
              </w:rPr>
              <w:t>条件，乡镇政府组织对村申报材料、个人素质等方面进行审核，并将审核结果反馈村两委。</w:t>
            </w:r>
          </w:p>
          <w:p w14:paraId="10090C84">
            <w:pPr>
              <w:pStyle w:val="4"/>
              <w:spacing w:before="1" w:line="287" w:lineRule="auto"/>
              <w:ind w:left="114" w:right="105" w:firstLine="5"/>
              <w:jc w:val="both"/>
            </w:pPr>
            <w:r>
              <w:rPr>
                <w:spacing w:val="-3"/>
              </w:rPr>
              <w:t>公示：村两委将拟聘的生态</w:t>
            </w:r>
            <w:r>
              <w:rPr>
                <w:spacing w:val="14"/>
              </w:rPr>
              <w:t>护林员名单在村民活动较</w:t>
            </w:r>
            <w:r>
              <w:rPr>
                <w:spacing w:val="9"/>
              </w:rPr>
              <w:t>集中的醒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目位置进行张榜</w:t>
            </w:r>
            <w:r>
              <w:rPr>
                <w:spacing w:val="-2"/>
              </w:rPr>
              <w:t>公示，征求村民意见。公示</w:t>
            </w:r>
            <w:r>
              <w:rPr>
                <w:spacing w:val="-4"/>
              </w:rPr>
              <w:t>期不少于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天，公示期满且</w:t>
            </w:r>
            <w:r>
              <w:t xml:space="preserve"> </w:t>
            </w:r>
            <w:r>
              <w:rPr>
                <w:spacing w:val="-1"/>
              </w:rPr>
              <w:t>无异议后上报乡镇政府。</w:t>
            </w:r>
          </w:p>
          <w:p w14:paraId="4E5830BA">
            <w:pPr>
              <w:pStyle w:val="4"/>
              <w:spacing w:before="1" w:line="288" w:lineRule="auto"/>
              <w:ind w:left="113" w:right="105"/>
              <w:jc w:val="both"/>
            </w:pPr>
            <w:r>
              <w:rPr>
                <w:spacing w:val="-2"/>
              </w:rPr>
              <w:t>聘用：公示期满后，</w:t>
            </w:r>
            <w:r>
              <w:rPr>
                <w:rFonts w:hint="eastAsia"/>
                <w:spacing w:val="-2"/>
                <w:lang w:eastAsia="zh-CN"/>
              </w:rPr>
              <w:t>经县级林业、财政、乡村振兴部门共同审定后，</w:t>
            </w:r>
            <w:r>
              <w:rPr>
                <w:spacing w:val="14"/>
              </w:rPr>
              <w:t>由乡镇</w:t>
            </w:r>
            <w:r>
              <w:rPr>
                <w:rFonts w:hint="eastAsia"/>
                <w:spacing w:val="14"/>
                <w:lang w:eastAsia="zh-CN"/>
              </w:rPr>
              <w:t>人民</w:t>
            </w:r>
            <w:r>
              <w:rPr>
                <w:spacing w:val="14"/>
              </w:rPr>
              <w:t>政府与拟聘用者签</w:t>
            </w:r>
            <w:r>
              <w:rPr>
                <w:spacing w:val="-2"/>
              </w:rPr>
              <w:t>订聘用合同，并将聘用合同</w:t>
            </w:r>
            <w:r>
              <w:rPr>
                <w:spacing w:val="14"/>
              </w:rPr>
              <w:t>及护林员信息上报林业局</w:t>
            </w:r>
            <w:r>
              <w:rPr>
                <w:spacing w:val="-3"/>
              </w:rPr>
              <w:t>备案。</w:t>
            </w:r>
          </w:p>
        </w:tc>
      </w:tr>
      <w:tr w14:paraId="1ED7A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6" w:type="dxa"/>
            <w:vAlign w:val="center"/>
          </w:tcPr>
          <w:p w14:paraId="4E98033C">
            <w:pPr>
              <w:pStyle w:val="4"/>
              <w:spacing w:before="58"/>
              <w:ind w:left="154"/>
              <w:jc w:val="center"/>
              <w:rPr>
                <w:rFonts w:hint="eastAsia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8AE3861">
            <w:pPr>
              <w:pStyle w:val="4"/>
              <w:spacing w:before="205" w:line="208" w:lineRule="auto"/>
              <w:ind w:left="3506"/>
              <w:jc w:val="center"/>
              <w:rPr>
                <w:spacing w:val="-1"/>
              </w:rPr>
            </w:pPr>
          </w:p>
          <w:p w14:paraId="2B47BE96">
            <w:pPr>
              <w:bidi w:val="0"/>
              <w:jc w:val="center"/>
            </w:pPr>
          </w:p>
          <w:p w14:paraId="079F1C52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上一轮政策到期退耕还生态林抚育补助</w:t>
            </w:r>
          </w:p>
        </w:tc>
        <w:tc>
          <w:tcPr>
            <w:tcW w:w="1157" w:type="dxa"/>
            <w:vAlign w:val="center"/>
          </w:tcPr>
          <w:p w14:paraId="6F400FB8">
            <w:pPr>
              <w:pStyle w:val="4"/>
              <w:spacing w:before="1" w:line="287" w:lineRule="auto"/>
              <w:ind w:left="114" w:right="105" w:firstLine="5"/>
              <w:jc w:val="center"/>
              <w:rPr>
                <w:spacing w:val="31"/>
              </w:rPr>
            </w:pPr>
            <w:r>
              <w:rPr>
                <w:rFonts w:hint="eastAsia"/>
                <w:spacing w:val="-1"/>
              </w:rPr>
              <w:t>财政部 国家林草局关于修订《林业草原改革发展资金管理办法》的通知 （〔2024〕158号）</w:t>
            </w:r>
          </w:p>
        </w:tc>
        <w:tc>
          <w:tcPr>
            <w:tcW w:w="970" w:type="dxa"/>
            <w:vAlign w:val="center"/>
          </w:tcPr>
          <w:p w14:paraId="6D35D718">
            <w:pPr>
              <w:pStyle w:val="4"/>
              <w:spacing w:before="89" w:line="219" w:lineRule="auto"/>
              <w:ind w:left="126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上一轮退耕还生态林到期</w:t>
            </w:r>
            <w:r>
              <w:rPr>
                <w:rFonts w:hint="eastAsia"/>
                <w:spacing w:val="-8"/>
                <w:lang w:eastAsia="zh-CN"/>
              </w:rPr>
              <w:t>面积抚育补助的</w:t>
            </w:r>
            <w:r>
              <w:rPr>
                <w:rFonts w:hint="eastAsia"/>
                <w:spacing w:val="-8"/>
              </w:rPr>
              <w:t>农户</w:t>
            </w:r>
          </w:p>
        </w:tc>
        <w:tc>
          <w:tcPr>
            <w:tcW w:w="876" w:type="dxa"/>
            <w:vAlign w:val="center"/>
          </w:tcPr>
          <w:p w14:paraId="7E02D347">
            <w:pPr>
              <w:pStyle w:val="4"/>
              <w:spacing w:before="59" w:line="310" w:lineRule="auto"/>
              <w:ind w:left="130" w:right="120" w:firstLine="47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20元/亩</w:t>
            </w:r>
          </w:p>
        </w:tc>
        <w:tc>
          <w:tcPr>
            <w:tcW w:w="3777" w:type="dxa"/>
            <w:vAlign w:val="center"/>
          </w:tcPr>
          <w:p w14:paraId="05B2C66C">
            <w:pPr>
              <w:pStyle w:val="4"/>
              <w:spacing w:before="1" w:line="287" w:lineRule="auto"/>
              <w:ind w:left="114" w:right="105" w:firstLine="5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在资金发放前，村级对各</w:t>
            </w:r>
            <w:r>
              <w:rPr>
                <w:rFonts w:hint="eastAsia"/>
                <w:spacing w:val="-2"/>
                <w:lang w:eastAsia="zh-CN"/>
              </w:rPr>
              <w:t>退耕</w:t>
            </w:r>
            <w:r>
              <w:rPr>
                <w:rFonts w:hint="eastAsia"/>
                <w:spacing w:val="-2"/>
              </w:rPr>
              <w:t>户退耕地</w:t>
            </w:r>
            <w:r>
              <w:rPr>
                <w:rFonts w:hint="eastAsia"/>
                <w:spacing w:val="-2"/>
                <w:lang w:eastAsia="zh-CN"/>
              </w:rPr>
              <w:t>块</w:t>
            </w:r>
            <w:r>
              <w:rPr>
                <w:rFonts w:hint="eastAsia"/>
                <w:spacing w:val="-2"/>
              </w:rPr>
              <w:t>进行检查核实，对各退耕户的</w:t>
            </w:r>
            <w:r>
              <w:rPr>
                <w:rFonts w:hint="eastAsia"/>
                <w:spacing w:val="-2"/>
                <w:lang w:eastAsia="zh-CN"/>
              </w:rPr>
              <w:t>本人信息，</w:t>
            </w:r>
            <w:r>
              <w:rPr>
                <w:rFonts w:hint="eastAsia"/>
                <w:spacing w:val="-2"/>
              </w:rPr>
              <w:t>退耕还林面积、每亩补助金额以及应补助总金额等情况</w:t>
            </w:r>
            <w:r>
              <w:rPr>
                <w:rFonts w:hint="eastAsia"/>
                <w:spacing w:val="-2"/>
                <w:lang w:eastAsia="zh-CN"/>
              </w:rPr>
              <w:t>进行核实，核实无误后</w:t>
            </w:r>
            <w:r>
              <w:rPr>
                <w:rFonts w:hint="eastAsia"/>
                <w:spacing w:val="-2"/>
              </w:rPr>
              <w:t>以村为单位</w:t>
            </w:r>
            <w:r>
              <w:rPr>
                <w:rFonts w:hint="eastAsia"/>
                <w:spacing w:val="-2"/>
                <w:lang w:eastAsia="zh-CN"/>
              </w:rPr>
              <w:t>进行公示</w:t>
            </w:r>
            <w:r>
              <w:rPr>
                <w:rFonts w:hint="eastAsia"/>
                <w:spacing w:val="-2"/>
              </w:rPr>
              <w:t>，</w:t>
            </w:r>
            <w:r>
              <w:rPr>
                <w:rFonts w:hint="eastAsia"/>
                <w:spacing w:val="-2"/>
                <w:lang w:eastAsia="zh-CN"/>
              </w:rPr>
              <w:t>公示无异议后，上报乡镇人民政府进行审核，乡村两级审核无异后，将退耕还林农户补助名单</w:t>
            </w:r>
            <w:r>
              <w:rPr>
                <w:rFonts w:hint="eastAsia"/>
                <w:spacing w:val="-2"/>
                <w:lang w:val="en-US" w:eastAsia="zh-CN"/>
              </w:rPr>
              <w:t>上报县林业局备案</w:t>
            </w:r>
            <w:r>
              <w:rPr>
                <w:rFonts w:hint="eastAsia"/>
                <w:spacing w:val="-2"/>
              </w:rPr>
              <w:t>。</w:t>
            </w:r>
            <w:r>
              <w:rPr>
                <w:rFonts w:hint="eastAsia"/>
                <w:spacing w:val="-2"/>
                <w:lang w:eastAsia="zh-CN"/>
              </w:rPr>
              <w:t>县林业局依据各乡镇上报数据，通过“一卡通”系统将退耕还林农户补助打至退耕户“一卡通”账户内。</w:t>
            </w:r>
          </w:p>
          <w:p w14:paraId="57C2E2F1">
            <w:pPr>
              <w:pStyle w:val="4"/>
              <w:spacing w:before="1" w:line="288" w:lineRule="auto"/>
              <w:ind w:left="113" w:right="105"/>
              <w:jc w:val="center"/>
              <w:rPr>
                <w:spacing w:val="-2"/>
              </w:rPr>
            </w:pPr>
          </w:p>
        </w:tc>
      </w:tr>
      <w:tr w14:paraId="2F921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2" w:hRule="atLeast"/>
        </w:trPr>
        <w:tc>
          <w:tcPr>
            <w:tcW w:w="676" w:type="dxa"/>
            <w:vAlign w:val="center"/>
          </w:tcPr>
          <w:p w14:paraId="313F0826">
            <w:pPr>
              <w:pStyle w:val="4"/>
              <w:spacing w:before="58"/>
              <w:ind w:left="154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7F26B3AB">
            <w:pPr>
              <w:bidi w:val="0"/>
              <w:jc w:val="center"/>
            </w:pPr>
          </w:p>
          <w:p w14:paraId="65F1CBD8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新一轮退耕还林延长期补助</w:t>
            </w:r>
          </w:p>
        </w:tc>
        <w:tc>
          <w:tcPr>
            <w:tcW w:w="1157" w:type="dxa"/>
            <w:vAlign w:val="center"/>
          </w:tcPr>
          <w:p w14:paraId="779714F7">
            <w:pPr>
              <w:pStyle w:val="4"/>
              <w:spacing w:before="1" w:line="287" w:lineRule="auto"/>
              <w:ind w:left="114" w:right="105" w:firstLine="5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自然资源部 国家林草局 国家发展改革委 财政部 农业农村部《关于进一步完善政策措施巩固退耕还林还草成果的通知》（自然资发〔2022〕191号</w:t>
            </w:r>
          </w:p>
        </w:tc>
        <w:tc>
          <w:tcPr>
            <w:tcW w:w="970" w:type="dxa"/>
            <w:vAlign w:val="center"/>
          </w:tcPr>
          <w:p w14:paraId="47D4F0E7">
            <w:pPr>
              <w:pStyle w:val="4"/>
              <w:spacing w:before="89" w:line="219" w:lineRule="auto"/>
              <w:ind w:left="126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新一轮退耕还林农户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968E1C">
            <w:pPr>
              <w:pStyle w:val="4"/>
              <w:spacing w:before="59" w:line="310" w:lineRule="auto"/>
              <w:ind w:left="130" w:leftChars="0" w:right="120" w:rightChars="0" w:firstLine="47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100元/亩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526D6621">
            <w:pPr>
              <w:pStyle w:val="4"/>
              <w:spacing w:before="1" w:line="287" w:lineRule="auto"/>
              <w:ind w:left="114" w:right="105" w:firstLine="5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在资金发放前，村级对各</w:t>
            </w:r>
            <w:r>
              <w:rPr>
                <w:rFonts w:hint="eastAsia"/>
                <w:spacing w:val="-2"/>
                <w:lang w:eastAsia="zh-CN"/>
              </w:rPr>
              <w:t>退耕</w:t>
            </w:r>
            <w:r>
              <w:rPr>
                <w:rFonts w:hint="eastAsia"/>
                <w:spacing w:val="-2"/>
              </w:rPr>
              <w:t>户退耕地</w:t>
            </w:r>
            <w:r>
              <w:rPr>
                <w:rFonts w:hint="eastAsia"/>
                <w:spacing w:val="-2"/>
                <w:lang w:eastAsia="zh-CN"/>
              </w:rPr>
              <w:t>块</w:t>
            </w:r>
            <w:r>
              <w:rPr>
                <w:rFonts w:hint="eastAsia"/>
                <w:spacing w:val="-2"/>
              </w:rPr>
              <w:t>进行检查核实，对各退耕户的</w:t>
            </w:r>
            <w:r>
              <w:rPr>
                <w:rFonts w:hint="eastAsia"/>
                <w:spacing w:val="-2"/>
                <w:lang w:eastAsia="zh-CN"/>
              </w:rPr>
              <w:t>本人信息，</w:t>
            </w:r>
            <w:r>
              <w:rPr>
                <w:rFonts w:hint="eastAsia"/>
                <w:spacing w:val="-2"/>
              </w:rPr>
              <w:t>退耕还林面积、每亩补助金额以及应补助总金额等情况</w:t>
            </w:r>
            <w:r>
              <w:rPr>
                <w:rFonts w:hint="eastAsia"/>
                <w:spacing w:val="-2"/>
                <w:lang w:eastAsia="zh-CN"/>
              </w:rPr>
              <w:t>进行核实，核实无误后</w:t>
            </w:r>
            <w:r>
              <w:rPr>
                <w:rFonts w:hint="eastAsia"/>
                <w:spacing w:val="-2"/>
              </w:rPr>
              <w:t>以村为单位</w:t>
            </w:r>
            <w:r>
              <w:rPr>
                <w:rFonts w:hint="eastAsia"/>
                <w:spacing w:val="-2"/>
                <w:lang w:eastAsia="zh-CN"/>
              </w:rPr>
              <w:t>进行公示</w:t>
            </w:r>
            <w:r>
              <w:rPr>
                <w:rFonts w:hint="eastAsia"/>
                <w:spacing w:val="-2"/>
              </w:rPr>
              <w:t>，</w:t>
            </w:r>
            <w:r>
              <w:rPr>
                <w:rFonts w:hint="eastAsia"/>
                <w:spacing w:val="-2"/>
                <w:lang w:eastAsia="zh-CN"/>
              </w:rPr>
              <w:t>公示无异议后，上报乡镇人民政府进行审核，乡村两级审核无异后，将退耕还林农户补助名单</w:t>
            </w:r>
            <w:r>
              <w:rPr>
                <w:rFonts w:hint="eastAsia"/>
                <w:spacing w:val="-2"/>
                <w:lang w:val="en-US" w:eastAsia="zh-CN"/>
              </w:rPr>
              <w:t>上报县林业局备案</w:t>
            </w:r>
            <w:r>
              <w:rPr>
                <w:rFonts w:hint="eastAsia"/>
                <w:spacing w:val="-2"/>
              </w:rPr>
              <w:t>。</w:t>
            </w:r>
            <w:r>
              <w:rPr>
                <w:rFonts w:hint="eastAsia"/>
                <w:spacing w:val="-2"/>
                <w:lang w:eastAsia="zh-CN"/>
              </w:rPr>
              <w:t>县林业局依据各乡镇上报数据，通过“一卡通”系统将退耕还林农户补助打至退耕户“一卡通”账户内。</w:t>
            </w:r>
          </w:p>
          <w:p w14:paraId="366C16D7">
            <w:pPr>
              <w:pStyle w:val="4"/>
              <w:spacing w:before="1" w:line="288" w:lineRule="auto"/>
              <w:ind w:left="113" w:leftChars="0" w:right="105" w:righ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</w:tbl>
    <w:p w14:paraId="667C2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4623"/>
    <w:rsid w:val="0A837C24"/>
    <w:rsid w:val="16A047D7"/>
    <w:rsid w:val="1DAF4623"/>
    <w:rsid w:val="2637307C"/>
    <w:rsid w:val="2A625928"/>
    <w:rsid w:val="393A4330"/>
    <w:rsid w:val="40597ABA"/>
    <w:rsid w:val="4D1D5961"/>
    <w:rsid w:val="5A050F33"/>
    <w:rsid w:val="6D5C3B0E"/>
    <w:rsid w:val="6E6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985</Words>
  <Characters>1013</Characters>
  <Lines>0</Lines>
  <Paragraphs>0</Paragraphs>
  <TotalTime>49</TotalTime>
  <ScaleCrop>false</ScaleCrop>
  <LinksUpToDate>false</LinksUpToDate>
  <CharactersWithSpaces>1041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2025-05-06T02:56:00Z</dcterms:created>
  <dc:creator>翔1413457700</dc:creator>
  <cp:lastModifiedBy>刘萍</cp:lastModifiedBy>
  <cp:lastPrinted>2025-06-13T08:11:00Z</cp:lastPrinted>
  <dcterms:modified xsi:type="dcterms:W3CDTF">2025-07-23T09:00:50Z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7583F0598F7E4035B7FC175F2A5E7540_13</vt:lpwstr>
  </property>
  <property fmtid="{D5CDD505-2E9C-101B-9397-08002B2CF9AE}" pid="4" name="KSOTemplateDocerSaveRecord">
    <vt:lpwstr>eyJoZGlkIjoiODM2MGQ5OTA4MzQzODIzZGFjMzUzMjljNzgyYTQ3NTMiLCJ1c2VySWQiOiIzNjcyOTAzODIifQ==</vt:lpwstr>
  </property>
</Properties>
</file>