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B2DC4">
      <w:pPr>
        <w:jc w:val="center"/>
        <w:rPr>
          <w:rFonts w:hint="eastAsia" w:ascii="黑体" w:hAnsi="黑体" w:eastAsia="黑体"/>
          <w:color w:val="000000" w:themeColor="text1"/>
          <w:sz w:val="36"/>
          <w:szCs w:val="36"/>
          <w:highlight w:val="none"/>
          <w14:textFill>
            <w14:solidFill>
              <w14:schemeClr w14:val="tx1"/>
            </w14:solidFill>
          </w14:textFill>
        </w:rPr>
      </w:pPr>
      <w:r>
        <w:rPr>
          <w:rFonts w:hint="eastAsia" w:ascii="黑体" w:hAnsi="黑体" w:eastAsia="黑体"/>
          <w:color w:val="000000" w:themeColor="text1"/>
          <w:sz w:val="36"/>
          <w:szCs w:val="36"/>
          <w:highlight w:val="none"/>
          <w14:textFill>
            <w14:solidFill>
              <w14:schemeClr w14:val="tx1"/>
            </w14:solidFill>
          </w14:textFill>
        </w:rPr>
        <w:t>大同市浑源县科技教育局</w:t>
      </w:r>
    </w:p>
    <w:p w14:paraId="0E97C740">
      <w:pPr>
        <w:jc w:val="center"/>
        <w:rPr>
          <w:rFonts w:ascii="黑体" w:hAnsi="黑体" w:eastAsia="黑体"/>
          <w:color w:val="000000" w:themeColor="text1"/>
          <w:sz w:val="36"/>
          <w:szCs w:val="36"/>
          <w:highlight w:val="none"/>
          <w14:textFill>
            <w14:solidFill>
              <w14:schemeClr w14:val="tx1"/>
            </w14:solidFill>
          </w14:textFill>
        </w:rPr>
      </w:pPr>
      <w:r>
        <w:rPr>
          <w:rFonts w:hint="eastAsia" w:ascii="黑体" w:hAnsi="黑体" w:eastAsia="黑体"/>
          <w:color w:val="000000" w:themeColor="text1"/>
          <w:sz w:val="36"/>
          <w:szCs w:val="36"/>
          <w:highlight w:val="none"/>
          <w14:textFill>
            <w14:solidFill>
              <w14:schemeClr w14:val="tx1"/>
            </w14:solidFill>
          </w14:textFill>
        </w:rPr>
        <w:t>2020年度部门决算公开说明</w:t>
      </w:r>
    </w:p>
    <w:p w14:paraId="317C2151">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目录</w:t>
      </w:r>
    </w:p>
    <w:p w14:paraId="3EC5FAC9">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第一部分 部门及单位概况</w:t>
      </w:r>
    </w:p>
    <w:p w14:paraId="6D33AC1F">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一、部门职责</w:t>
      </w:r>
    </w:p>
    <w:p w14:paraId="63051D7A">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二、机构设置</w:t>
      </w:r>
    </w:p>
    <w:p w14:paraId="4E461716">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第二部分 2020年度部门决算公开报表</w:t>
      </w:r>
    </w:p>
    <w:p w14:paraId="2C84219E">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表一：GK01 收入支出决算总表(公开01表)</w:t>
      </w:r>
    </w:p>
    <w:p w14:paraId="79F7A114">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表二：GK02 收入决算表(公开02表)</w:t>
      </w:r>
    </w:p>
    <w:p w14:paraId="70848C33">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表三：GK03 支出决算表(公开03表)</w:t>
      </w:r>
    </w:p>
    <w:p w14:paraId="26D7092A">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表四：GK04 财政拨款收入支出决算总表(公开04表)</w:t>
      </w:r>
    </w:p>
    <w:p w14:paraId="79E53818">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表五：GK05 一般公共预算财政拨款支出决算表（一）(公开05表)</w:t>
      </w:r>
    </w:p>
    <w:p w14:paraId="1AE9F88B">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表六：GK06 一般公共预算财政拨款支出决算表（二）(公开06表)</w:t>
      </w:r>
    </w:p>
    <w:p w14:paraId="0E05BB00">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表七：GK07 一般公共预算财政拨款“三公”经费支出决算表(公开07)</w:t>
      </w:r>
    </w:p>
    <w:p w14:paraId="5939C546">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表八：GK08 政府性基金预算财政拨款收入支出决算表(公开08表)</w:t>
      </w:r>
    </w:p>
    <w:p w14:paraId="1995DFA8">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表九：GK09 国有资本经营预算财政拨款支出决算表(公开09表)</w:t>
      </w:r>
    </w:p>
    <w:p w14:paraId="61A8DAF7">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表十：GK10 部门决算公开相关信息统计表(公开10表)</w:t>
      </w:r>
    </w:p>
    <w:p w14:paraId="01B57CB7">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第三部分 2020年度部门决算情况说明</w:t>
      </w:r>
    </w:p>
    <w:p w14:paraId="31071AE8">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一、决算收入情况</w:t>
      </w:r>
    </w:p>
    <w:p w14:paraId="769EA58B">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二、决算支出情况</w:t>
      </w:r>
    </w:p>
    <w:p w14:paraId="25EAE5BF">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三、“三公”经费情况</w:t>
      </w:r>
    </w:p>
    <w:p w14:paraId="56AECD29">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四、机关运行经费情况</w:t>
      </w:r>
    </w:p>
    <w:p w14:paraId="0CF6B21F">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五、政府决算采购情况说明</w:t>
      </w:r>
    </w:p>
    <w:p w14:paraId="0D7BEE1F">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六、国有资产占有使用情况</w:t>
      </w:r>
    </w:p>
    <w:p w14:paraId="7B9EB8F9">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七、绩效情况说明</w:t>
      </w:r>
      <w:bookmarkStart w:id="0" w:name="_GoBack"/>
      <w:bookmarkEnd w:id="0"/>
    </w:p>
    <w:p w14:paraId="008531BB">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第四部分 部门名词解释</w:t>
      </w:r>
    </w:p>
    <w:p w14:paraId="313BACD9">
      <w:pP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内容</w:t>
      </w:r>
    </w:p>
    <w:p w14:paraId="4E19FE03">
      <w:pPr>
        <w:shd w:val="clear" w:fill="FFFFFF" w:themeFill="background1"/>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第一部分：</w:t>
      </w:r>
      <w:r>
        <w:rPr>
          <w:rFonts w:hint="eastAsia" w:ascii="仿宋_GB2312" w:hAnsi="仿宋_GB2312" w:eastAsia="仿宋_GB2312" w:cs="仿宋_GB2312"/>
          <w:color w:val="000000" w:themeColor="text1"/>
          <w:kern w:val="0"/>
          <w:sz w:val="32"/>
          <w:szCs w:val="32"/>
          <w:highlight w:val="none"/>
          <w:shd w:val="clear" w:color="auto" w:fill="auto"/>
          <w14:textFill>
            <w14:solidFill>
              <w14:schemeClr w14:val="tx1"/>
            </w14:solidFill>
          </w14:textFill>
        </w:rPr>
        <w:t>大同市浑源县科技教育局</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概况</w:t>
      </w:r>
    </w:p>
    <w:p w14:paraId="019BEDB0">
      <w:pPr>
        <w:numPr>
          <w:ilvl w:val="0"/>
          <w:numId w:val="1"/>
        </w:num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部门职责</w:t>
      </w:r>
    </w:p>
    <w:p w14:paraId="7812F0B9">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1、宣传贯彻、实施有关教育法规。</w:t>
      </w:r>
    </w:p>
    <w:p w14:paraId="11CBC86C">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2、制定全县教育发展规划并组织实施。</w:t>
      </w:r>
    </w:p>
    <w:p w14:paraId="087F2AF0">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3、负责全县中小学教育、职业教育、成人教育。</w:t>
      </w:r>
    </w:p>
    <w:p w14:paraId="01A31241">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4、负责全县教师的调配管理的档案保管工作。</w:t>
      </w:r>
    </w:p>
    <w:p w14:paraId="54EDCBA9">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5、受</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县委、县政府</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委托负责对部分县办中、小学领导干部考察任免工作。</w:t>
      </w:r>
    </w:p>
    <w:p w14:paraId="41775D15">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6、负责全县教学、教研、考核等项业务指导。</w:t>
      </w:r>
    </w:p>
    <w:p w14:paraId="6A97B89A">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7、按照有关规定，负责管理本系统的教育经费。</w:t>
      </w:r>
    </w:p>
    <w:p w14:paraId="22D473D6">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8、协助省、市招生委员会安排组织各种考试和招生工作。</w:t>
      </w:r>
    </w:p>
    <w:p w14:paraId="70771EA9">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9、贯彻执行国家关于科学技术发展的方针、政策和法规，研究制定全县科技发展的宏观战略和科技促进经济与社会发展的法规、政策和措施；研究科技促进经济与社会发展的重大问题；研究确定科技发展的重大布局和优先领域；推动我县科技创新体系建设、营造科技发展环境、提高科技创新能力。</w:t>
      </w:r>
    </w:p>
    <w:p w14:paraId="287C210A">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、编制县级重点实验室项目的计划，安排相关经费。</w:t>
      </w:r>
    </w:p>
    <w:p w14:paraId="57B6DEC1">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、组织编制科技兴县及全县科技发展的中长期规划和年度计划；编制、实施、申报科技攻关，星火、火炬、成果推广，新产品试制，基础研究，国家、省市科技合作等各类科技计划。</w:t>
      </w:r>
    </w:p>
    <w:p w14:paraId="48550F04">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、负责全县科技型中小企业创新基金项目的审报和管理；负责管理和统筹规划科技成果转化资金；统筹规划科技事业的基本建设；促进科技风险投资机制的建立和发展。</w:t>
      </w:r>
    </w:p>
    <w:p w14:paraId="79162368">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、负责高新技术、应用技术的开发与推广工作，指导科技成果转化工作；负责星火计划、火炬计划、成果推广计划等科技发展计划指南的制定并指导实施；组织申报高新技术企业及认定后的管理工作。</w:t>
      </w:r>
    </w:p>
    <w:p w14:paraId="431CA523">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、组织科技力量，促进高新</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技术</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产业开发区、科研所、可</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持续</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发展实验区、中小企业技术创新综合技术服务、农业科技示范园区等科技体系的建 设与发展。</w:t>
      </w:r>
    </w:p>
    <w:p w14:paraId="22A3EED4">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归口管理全县科技成果、科技奖励、技术市场与科技相关的知识产权工作；制定科学技术普及工作规划，实行政策引导，推动科普工作发展；促进科技咨询、招标、评估等社会中介组织的发展，推动科技服务体系的建立；负责全县科技信息网络的建设和管理。</w:t>
      </w:r>
    </w:p>
    <w:p w14:paraId="4CDCF9BC">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、负责全县科技统计、科技信息的管理工作，管理审核县属全民所有制独立自然科研机构的组建和调整，归口管理民营科技企业，负责民营科技企业资格认定的申报。</w:t>
      </w:r>
    </w:p>
    <w:p w14:paraId="3DEE588F">
      <w:pPr>
        <w:ind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、指导协调县政府各部门的科技管理工作。</w:t>
      </w:r>
    </w:p>
    <w:p w14:paraId="537A91AD">
      <w:pPr>
        <w:ind w:firstLine="420" w:firstLineChars="0"/>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、承办县人民政府交办的其它事项。</w:t>
      </w:r>
    </w:p>
    <w:p w14:paraId="5BFA7D35">
      <w:pPr>
        <w:numPr>
          <w:ilvl w:val="0"/>
          <w:numId w:val="1"/>
        </w:numPr>
        <w:ind w:left="0" w:leftChars="0"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机构设置</w:t>
      </w:r>
    </w:p>
    <w:p w14:paraId="6AD771CA">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从部门</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决</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算构成看，浑源县教育科技局</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决</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算主要包括局机关</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决</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算、县直学校</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决</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算、各乡镇中心学校</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决</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算。</w:t>
      </w:r>
    </w:p>
    <w:p w14:paraId="771C80F7">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纳入教育科技局</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决</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算的单位包括：</w:t>
      </w:r>
    </w:p>
    <w:p w14:paraId="339661D1">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浑源县科技教育局</w:t>
      </w:r>
    </w:p>
    <w:p w14:paraId="2065C23A">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浑源县教师进修学校</w:t>
      </w:r>
    </w:p>
    <w:p w14:paraId="13907792">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浑源中学</w:t>
      </w:r>
    </w:p>
    <w:p w14:paraId="517A00EA">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浑源三中</w:t>
      </w:r>
    </w:p>
    <w:p w14:paraId="057017B8">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浑源县示范中学</w:t>
      </w:r>
    </w:p>
    <w:p w14:paraId="52B0161A">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浑源县第五中学</w:t>
      </w:r>
    </w:p>
    <w:p w14:paraId="3F462EE3">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浑源县穆岳小学</w:t>
      </w:r>
    </w:p>
    <w:p w14:paraId="65FF32E5">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浑源县永安镇中心学校</w:t>
      </w:r>
    </w:p>
    <w:p w14:paraId="73FAC0BE">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浑源县沙圪坨镇中心学校</w:t>
      </w:r>
    </w:p>
    <w:p w14:paraId="177B64B8">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浑源县大仁庄乡中心学校</w:t>
      </w:r>
    </w:p>
    <w:p w14:paraId="7C0ED46F">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浑源县黄花滩乡中心学校</w:t>
      </w:r>
    </w:p>
    <w:p w14:paraId="0082CD37">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浑源县大磁窑镇中心学校</w:t>
      </w:r>
    </w:p>
    <w:p w14:paraId="28AA942F">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浑源县青磁窑乡中心学校</w:t>
      </w:r>
    </w:p>
    <w:p w14:paraId="324FD485">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浑源县千佛岭乡中心学校</w:t>
      </w:r>
    </w:p>
    <w:p w14:paraId="3B83CB5E">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浑源县王庄堡镇中心学校</w:t>
      </w:r>
    </w:p>
    <w:p w14:paraId="7F8372DD">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浑源县官儿乡中心学校</w:t>
      </w:r>
    </w:p>
    <w:p w14:paraId="02C4941B">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浑源县东坊城乡中心学校</w:t>
      </w:r>
    </w:p>
    <w:p w14:paraId="025E74D1">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浑源县裴村乡中心学校</w:t>
      </w:r>
    </w:p>
    <w:p w14:paraId="4422D6FB">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浑源县西坊城镇中心学校</w:t>
      </w:r>
    </w:p>
    <w:p w14:paraId="43987A9B">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浑源县驼峰乡中心学校</w:t>
      </w:r>
    </w:p>
    <w:p w14:paraId="2BF2F99B">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浑源县西留乡中心学校</w:t>
      </w:r>
    </w:p>
    <w:p w14:paraId="0D588C72">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浑源县南榆林乡中心学校</w:t>
      </w:r>
    </w:p>
    <w:p w14:paraId="78271FA4">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浑源县下韩乡中心学校</w:t>
      </w:r>
    </w:p>
    <w:p w14:paraId="138A2500">
      <w:pPr>
        <w:ind w:left="420" w:leftChars="0" w:firstLine="420" w:firstLineChars="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浑源县蔡村镇中心学校</w:t>
      </w:r>
    </w:p>
    <w:p w14:paraId="56E5473A">
      <w:pPr>
        <w:numPr>
          <w:ilvl w:val="0"/>
          <w:numId w:val="0"/>
        </w:numPr>
        <w:ind w:left="0" w:leftChars="0" w:firstLine="838" w:firstLineChars="262"/>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浑源县吴城乡中心学校</w:t>
      </w:r>
    </w:p>
    <w:p w14:paraId="31794A03">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第二部分：2020年度部门决算公开报表</w:t>
      </w:r>
    </w:p>
    <w:p w14:paraId="54EF57D4">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附件：大同市浑源县科技教育局2020年度</w:t>
      </w:r>
      <w:r>
        <w:rPr>
          <w:rFonts w:hint="eastAsia" w:ascii="仿宋_GB2312" w:hAnsi="仿宋_GB2312" w:eastAsia="仿宋_GB2312" w:cs="仿宋_GB2312"/>
          <w:color w:val="auto"/>
          <w:kern w:val="0"/>
          <w:sz w:val="32"/>
          <w:szCs w:val="32"/>
          <w:highlight w:val="none"/>
        </w:rPr>
        <w:t>部门决算公开报表</w:t>
      </w:r>
    </w:p>
    <w:p w14:paraId="4DB472CE">
      <w:pP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第三部分：2020年度部门决算情况说明</w:t>
      </w:r>
    </w:p>
    <w:p w14:paraId="1B133F46">
      <w:pPr>
        <w:pStyle w:val="4"/>
        <w:numPr>
          <w:ilvl w:val="0"/>
          <w:numId w:val="2"/>
        </w:numPr>
        <w:ind w:firstLine="6" w:firstLineChars="2"/>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决算收入情况</w:t>
      </w:r>
    </w:p>
    <w:p w14:paraId="7CAF5122">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总收入为5388.42万元，上年度总收入为13796.12万元，增减-60.94 %。其中：一般公共预算财政拨款本年度收入为5306.47万元，上年度收入为13383.04万元，增减-60.35 %；政府性基金预算财政拨款本年度收入为0万元，上年度收入为98.46万元，增减-100 %；事业收入本年度收入为0万元，上年度收入为0万元，增减0 %；其他收入本年度收入为81.95万元，上年度收入为314.61万元，增减-73.95%。</w:t>
      </w:r>
    </w:p>
    <w:p w14:paraId="268184D5">
      <w:pPr>
        <w:pStyle w:val="4"/>
        <w:numPr>
          <w:ilvl w:val="0"/>
          <w:numId w:val="2"/>
        </w:numPr>
        <w:ind w:firstLine="6" w:firstLineChars="2"/>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决算支出情况</w:t>
      </w:r>
    </w:p>
    <w:p w14:paraId="076B08C5">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总支出为5307.6万元，上年度总支出为13753.71万元，增减-61.41 %。其中：基本支出本年度支出为931.37万元，上年度支出为1045.83万元，增减-10.94 %；项目支出本年度支出为4376.23万元，上年度支出为12707.88万元，增减-65.56 %。</w:t>
      </w:r>
    </w:p>
    <w:p w14:paraId="1D49F224">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三、“三公”经费情况</w:t>
      </w:r>
    </w:p>
    <w:p w14:paraId="5955E05E">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三公”经费总支出为0万元，上年度支出为16.26万元，增减-100 %；其中：因公出国（境）费本年度支出0万元，上年度支出为0万元，增减0 %；公务用车购置及运行维护费支出为0万元，上年度支出为0万元，增减0 %；公务接待费支出为0万元，上年度支出为16.26万元，增减-100 %。</w:t>
      </w:r>
    </w:p>
    <w:p w14:paraId="01CF5303">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四、机关运行经费情况</w:t>
      </w:r>
    </w:p>
    <w:p w14:paraId="6105D11F">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本单位本年度机关运行经费总支出为49.53万元，上年度支出为135.38万元，增减-63.41 %；主要为日常办公费、水电、差旅、印刷、委托业务费等费用。</w:t>
      </w:r>
    </w:p>
    <w:p w14:paraId="3C08CF5E">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五、政府决算采购情况说明</w:t>
      </w:r>
    </w:p>
    <w:p w14:paraId="5FB7C512">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本单位本年度政府采购总价为3753.72万元，其中：货物采购3753.72万元，工程采购0万元，服务采购0万元。</w:t>
      </w:r>
    </w:p>
    <w:p w14:paraId="276CFF11">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六、国有资产占有使用情况</w:t>
      </w:r>
    </w:p>
    <w:p w14:paraId="701329C9">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（1）房屋情况</w:t>
      </w:r>
    </w:p>
    <w:p w14:paraId="53ABDB04">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截止2020年12月31日， 我单位产权房屋面积为2013平方米，价值61万元。</w:t>
      </w:r>
    </w:p>
    <w:p w14:paraId="42FA18A7">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（2）车辆情况</w:t>
      </w:r>
    </w:p>
    <w:p w14:paraId="678B01A3">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 单位账面车辆为0辆，价值0万元。</w:t>
      </w:r>
    </w:p>
    <w:p w14:paraId="010C6C48">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七、绩效情况说明</w:t>
      </w:r>
    </w:p>
    <w:p w14:paraId="5DF4CE01">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2020年度，本单位实行绩效目标管理的项目</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个。</w:t>
      </w:r>
    </w:p>
    <w:p w14:paraId="39EAF721">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第四部分 部门名词解释</w:t>
      </w:r>
    </w:p>
    <w:p w14:paraId="5D903FE5">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一、财政拨款：财政拨款包括一般公共预算财政拨款、政府性基金预算财政拨款和国有资本经营预算财政拨款。</w:t>
      </w:r>
    </w:p>
    <w:p w14:paraId="586507FB">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52A9B90F">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70F0FA75">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529DD872">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二、收入</w:t>
      </w:r>
    </w:p>
    <w:p w14:paraId="31E5A6EB">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36CFFD96">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一级预算单位收到的应拨给下级单位使用的款项，年终决算时尚未拨出的，在编报时列为本单位财政拨款。</w:t>
      </w:r>
    </w:p>
    <w:p w14:paraId="51EB320D">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2、上级补助收入：填列事业单位从主管部门和上级单位取得的非财政补助收入。</w:t>
      </w:r>
    </w:p>
    <w:p w14:paraId="6FBD6F04">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3、事业收入：填列事业单位开展专业业务活动及其辅助活动取得的收入；事业单位收到的财政专户实际核拨的教育收费等资金在此反映。</w:t>
      </w:r>
    </w:p>
    <w:p w14:paraId="0EB39411">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4、经营收入：填列事业单位在专业业务活动及其辅助活动之外开展非独立核算经营活动取得的收入。</w:t>
      </w:r>
    </w:p>
    <w:p w14:paraId="33195977">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5、附属单位上缴收入：填列事业单位附独立核算单位按照有关规定上缴的收入。</w:t>
      </w:r>
    </w:p>
    <w:p w14:paraId="1A9C5836">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26B49C1E">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事业单位开展专业业务活动及辅助活动并以合同形式从本级财政部门以外的同级单位取得的经费，不在本项反映，应填列在“事业收入”栏。</w:t>
      </w:r>
    </w:p>
    <w:p w14:paraId="1C0328F9">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三、支出</w:t>
      </w:r>
    </w:p>
    <w:p w14:paraId="3303DBCF">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1、基本支出：填列单位为保障机构正常运转、完成日常工作任务而发生的各项支出。</w:t>
      </w:r>
    </w:p>
    <w:p w14:paraId="57A47989">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2、项目支出：填列单位为完成特定的行政工作任务或事业发展目标，在基本支出之外发生的各项支出。</w:t>
      </w:r>
    </w:p>
    <w:p w14:paraId="67821C18">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3、上缴上级支出：填列事业单位按照财政部门和主管部门的规定上缴上级单位的支出。</w:t>
      </w:r>
    </w:p>
    <w:p w14:paraId="75F1D421">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4、经营支出：填列事业单位在专业活动及辅助活动之外开展非独立核算经营活动发生的支出。</w:t>
      </w:r>
    </w:p>
    <w:p w14:paraId="10B8E7AC">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5、附属单位补助支出：填列事业单位用财政补助收入之外的收入对附属单位补助发生的支出。</w:t>
      </w:r>
    </w:p>
    <w:p w14:paraId="5712E931">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6、主管部门在汇总决算时，应使用调整表对“上缴上级支出”“对附属单位补助支出”与收入表中“附属单位上缴收入”“上级补助收入”进行冲抵。</w:t>
      </w:r>
    </w:p>
    <w:p w14:paraId="2F8F11B6">
      <w:pPr>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四、“三公”经费：一般公共预算安排的因公出国（境）费、公务用车购置及运行费和公务接待费。</w:t>
      </w:r>
    </w:p>
    <w:p w14:paraId="5D120B91">
      <w:pPr>
        <w:rPr>
          <w:rFonts w:hint="eastAsia" w:ascii="仿宋_GB2312" w:hAnsi="仿宋_GB2312" w:eastAsia="仿宋_GB2312" w:cs="仿宋_GB2312"/>
          <w:color w:val="000000" w:themeColor="text1"/>
          <w:sz w:val="32"/>
          <w:szCs w:val="32"/>
          <w:highlight w:val="none"/>
          <w14:textFill>
            <w14:solidFill>
              <w14:schemeClr w14:val="tx1"/>
            </w14:solidFill>
          </w14:textFill>
        </w:rPr>
      </w:pPr>
    </w:p>
    <w:p w14:paraId="7AB607C4">
      <w:pPr>
        <w:rPr>
          <w:rFonts w:hint="eastAsia" w:ascii="仿宋_GB2312" w:hAnsi="仿宋_GB2312" w:eastAsia="仿宋_GB2312" w:cs="仿宋_GB2312"/>
          <w:color w:val="000000" w:themeColor="text1"/>
          <w:sz w:val="32"/>
          <w:szCs w:val="32"/>
          <w:highlight w:val="none"/>
          <w14:textFill>
            <w14:solidFill>
              <w14:schemeClr w14:val="tx1"/>
            </w14:solidFill>
          </w14:textFill>
        </w:rPr>
      </w:pPr>
    </w:p>
    <w:p w14:paraId="0C390722">
      <w:pPr>
        <w:rPr>
          <w:rFonts w:hint="eastAsia" w:ascii="仿宋_GB2312" w:hAnsi="仿宋_GB2312" w:eastAsia="仿宋_GB2312" w:cs="仿宋_GB2312"/>
          <w:color w:val="000000" w:themeColor="text1"/>
          <w:sz w:val="32"/>
          <w:szCs w:val="32"/>
          <w:highlight w:val="none"/>
          <w14:textFill>
            <w14:solidFill>
              <w14:schemeClr w14:val="tx1"/>
            </w14:solidFill>
          </w14:textFill>
        </w:rPr>
      </w:pPr>
    </w:p>
    <w:p w14:paraId="1662BBEE">
      <w:pPr>
        <w:jc w:val="both"/>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14:textFill>
            <w14:solidFill>
              <w14:schemeClr w14:val="tx1"/>
            </w14:solidFill>
          </w14:textFill>
        </w:rPr>
        <w:t>202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388E4E"/>
    <w:multiLevelType w:val="singleLevel"/>
    <w:tmpl w:val="5C388E4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459B7C9A"/>
    <w:rsid w:val="0F1C2F33"/>
    <w:rsid w:val="1B4B012D"/>
    <w:rsid w:val="1BC80F35"/>
    <w:rsid w:val="235D79B5"/>
    <w:rsid w:val="3B8F2A6A"/>
    <w:rsid w:val="43063793"/>
    <w:rsid w:val="459B7C9A"/>
    <w:rsid w:val="4CBB1780"/>
    <w:rsid w:val="67F00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3466</Words>
  <Characters>3698</Characters>
  <Lines>0</Lines>
  <Paragraphs>0</Paragraphs>
  <TotalTime>0</TotalTime>
  <ScaleCrop>false</ScaleCrop>
  <LinksUpToDate>false</LinksUpToDate>
  <CharactersWithSpaces>3759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2021-08-24T08:37:00Z</dcterms:created>
  <dc:creator>阿伟</dc:creator>
  <cp:lastModifiedBy>刘萍</cp:lastModifiedBy>
  <dcterms:modified xsi:type="dcterms:W3CDTF">2025-04-25T11:28:41Z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B3A0D3EE74584D808D648047BB0027BB_12</vt:lpwstr>
  </property>
  <property fmtid="{D5CDD505-2E9C-101B-9397-08002B2CF9AE}" pid="4" name="KSOTemplateDocerSaveRecord">
    <vt:lpwstr>eyJoZGlkIjoiODM2MGQ5OTA4MzQzODIzZGFjMzUzMjljNzgyYTQ3NTMiLCJ1c2VySWQiOiIzNjcyOTAzODIifQ==</vt:lpwstr>
  </property>
</Properties>
</file>