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sz w:val="36"/>
          <w:szCs w:val="36"/>
        </w:rPr>
      </w:pPr>
      <w:r>
        <w:rPr>
          <w:rFonts w:hint="eastAsia" w:ascii="黑体" w:hAnsi="黑体" w:eastAsia="黑体" w:cs="黑体"/>
          <w:color w:val="000000"/>
          <w:sz w:val="36"/>
          <w:szCs w:val="36"/>
        </w:rPr>
        <w:t>浑源县能源局</w:t>
      </w:r>
    </w:p>
    <w:p>
      <w:pPr>
        <w:jc w:val="center"/>
        <w:rPr>
          <w:rFonts w:hint="eastAsia" w:ascii="黑体" w:hAnsi="黑体" w:eastAsia="黑体" w:cs="黑体"/>
          <w:color w:val="000000"/>
          <w:sz w:val="36"/>
          <w:szCs w:val="36"/>
        </w:rPr>
      </w:pPr>
      <w:r>
        <w:rPr>
          <w:rFonts w:hint="eastAsia" w:ascii="黑体" w:hAnsi="黑体" w:eastAsia="黑体" w:cs="黑体"/>
          <w:color w:val="000000"/>
          <w:sz w:val="36"/>
          <w:szCs w:val="36"/>
        </w:rPr>
        <w:t>2021年度部门决算公开说明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目录</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 部门及单位概况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 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表一：GK01 收入支出决算总表(公开01表)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表二：GK02 收入决算表(公开02表)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表三：GK03 支出决算表(公开03表)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表四：GK04 财政拨款收入支出决算总表(公开04表)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表五：GK05 一般公共预算财政拨款支出决算表（一）(公开05表)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表六：GK06 一般公共预算财政拨款支出决算表（二）(公开06表)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表七：GK07 一般公共预算财政拨款“三公”经费支出决算表(公开07)</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表八：GK08 政府性基金预算财政拨款收入支出决算表(公开08表)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表九：GK09 国有资本经营预算财政拨款支出决算表(公开09表)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表十：GK10 部门决算公开相关信息统计表(公开10表)</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 2021年度部门决算情况说明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第四部分 部门名词解释</w:t>
      </w:r>
    </w:p>
    <w:p>
      <w:pPr>
        <w:rPr>
          <w:rFonts w:hint="eastAsia" w:ascii="仿宋" w:hAnsi="仿宋" w:eastAsia="仿宋" w:cs="仿宋"/>
          <w:b/>
          <w:color w:val="000000"/>
          <w:kern w:val="0"/>
          <w:sz w:val="32"/>
          <w:szCs w:val="32"/>
        </w:rPr>
      </w:pP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内容</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第一部分：浑源县能源局概况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贯彻落实国家、省、市有关能源工作的法律、法规和政策，研究拟定全县能源发展战略和发展规划，推进能源体制改革。涉及能源发展的重大规划和投资项目管理等，由县发展和改革局牵头，以联席会议制度进行协调协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）负责全县能源行业管理。组织拟定全县煤炭、电力、石油、天然气、新能源和可再生能源等能源产业的相关标准并组织实施。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（三）按规定权限，负责审批、核准、审核能源固定资产投资项目，并负责组织项目竣工验收。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负责能源预测预警，监测全县能源发展状况，发布能源信息，参与能源运行调节和应急保障。拟订石油、天然气战略储备规划，提出石油、天然气战略储备收储、动用建议，经县发展和改革局审核后，报县人民政府审批，按程序上报核准并组织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牵头组织全县节能降耗工作，拟订年度工作计划、预期建议目标并组织实施。承担能源行业节能降耗和清洁生产。研究拟定全县年度能源消费总量建议控制目标，指导、监督能源消费总控制有关工作，衔接能源生产和供需平衡。牵头组织全县节能监督管理和节能监察工作。负责能源领域节能降耗监察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（六）协调落实推进电力发展和改革中的重大问题。负责全县电力运行管理。负责供电营业区的划分、变更和《供电营业许可证》申请资料的审核上报工作。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（七）负责石油、天然气等管道建设和保护。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（八）指导协调新能源、可再生能源、农村电网和农村能源发展工作。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（九）负责能源领域科技进步、装备和节能技术改造等相关工作，推广应用新产品、新技术、新设备。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（十）参与制定与能源相关的资源、环保及应对气候变化等规章。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（十一）完成县委、县人民政府交办的其他任务。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ニ）职能转变。县能源局要围绕山西建设全国资源型经济转型发展示范区和打造全国能源革命排头兵战略，研究提出全县能源发展战略、政策和规划，提出能源体制改革建议，转变能源管理和服务职能，减少微观管理和具体审批事项。制定能源领域的相关规划，加强事中事后监管，激发市场主体活力。</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综合办公室（机关党办）。负责机关日常运转，承担信息、档案、信访、政务公开、重要文稿起草和行政后勤等工作。研究能源重大问题，承担有关规范性文件的合法性审查工作。承担行政复议、行政应诉等工作。牵头负责能源改革相关工作。承担县委、县人民政府年度目标责任制考核工作。对全县能源行业职业教育培训工作进行组织协调和业务指导。研究提出能源发展战略建议，牵头组织拟订能源发展中长期规划和年度计划。承担能源综合业务，布局重大能源产业项目，推进全县能源结构战略性调整。按规定权限，负责审批、核准、审核煤炭、电力、石油、天然气、新能源和可再生能源等固定资产投资项目。提出煤矿安全改造项目的初审意见。牵头负责能源领域行政审批项目的事中事后监管。监督指导能源领域（煤矿安全除外）行政执法工作。指导能源（煤矿矿安全除外）产业加强安全生产管理和隐患排查治理工作。承担重大突发事件状态下能源物资的紧急调度和综合协调。参与重特大安全生产事故的调查、处理。负责本部门政务服务管理工作，负责本部门具有审批性质行政职权事项的受理、办理或牵头组织联审联办工作，本系统行政审事项的受理、办理或牵头组织联审联办工作，本系统行政审批制度改革工作。负责全县能源领域财务指标的统计、汇总及分析工作。负责机关的财务管理和社保、医保、公积金等资金的代扣代缴工作。负责机关和直属单位内部审计工作。负责机关和直属单位的党群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ニ）煤炭电力油气股。负责煤炭行业（煤矿安全除外）管理。落实煤炭开发发展规划、计划和政策并组织实施。负责煤炭生产总量调控、产能置换和重组整合相关工作。负责全县煤矿、洗（选）煤厂产业布局、淘汰落后和初步设计、项目开工及联合试运转审批，并负责组织综合竣工验收工作。负责煤矿（含洗选煤厂）改扩建（含技术改造）审批。负责全县煤矿建设工程质量监督工作。承担煤炭改革相关工作。负责煤炭行业（煤矿安全除外）相关管理工作。指导全县煤矿、洗（选）煤厂的生产技术工作，贯彻落实相关生产技术规范、规程和标准。负责煤矿生产能力核定、煤矿生产能力登记公告管理等工作。指导全县煤炭质量管理。负责电力行业管理。承担电力运行协调工作。组织拟订电力、电网等专项规划、年度计划并组织实施。负责全县电力电量综合平衡预案和电力年度计划编制及管理，配合省市相关部门积极参与电力外送市场拓展。协调处理电力发展和改革中的问题。负责供电营业区的划分、变更和《供电营业许可证》的申请资料的审核上报工作。负责石油、天然气等行业管理。拟订并组织实施石油、天然气等行业发展规划、年度计划并组织实施。负责石油、天然气等管道建设和保护。负责石油、天然气等综合利用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（三）新能源和节能减排股。负责新能源行业管理。指导协调新能源、可再生能源、农村电网和农村能源发展，组织拟订新能源、水能、生物质能和其他可再生能源发展规划</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和计划并组织实施。指导能源清洁高效利用工作。拟订煤炭加工转化为清洁能源产品的发展规划。研究拟订绿色能源、促进产业提质发展办法并组织实施。负责煤电的清洁生产工作。参与编制生态建设、环境保护规划，配合相关部门促进能源领城的资源节约和环境保护工作。牵头组织全县节能降耗工作，拟订年度工作计划和预期建议目标并推动实施。承担全县能源领域节能降耗工作，拟订能源领域节能的相关规划和计划并组织实施。牵头组织全县节能监督管理和节能监察工作，负责能源领域节能降耗的监察工作。制定全县能源消费总量建议控制目标。指导、监督能源消费总量控制有关工作。负责能源领域科技进步、装备和节能技术改造等相关工作，推广应用新产品、新技术、新设备。统筹推进能源领域信息化工作，牵头负责能源领域综合统计作。监测全县能源运行情况，分析能源运行动态，协调能源运行中重大问题。负责能源预测预警，发布能源信息。提出能源价格调整和进出口总量建议。参与协调全县煤电油气保障工作。</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附件：大同市浑源县能源局-2021年度部门决算公开报表.xls</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第三部分：2021年度部门决算情况说明</w:t>
      </w:r>
    </w:p>
    <w:p>
      <w:pPr>
        <w:ind w:left="424"/>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收入为4696.3万元，上年度总收入为0万元，增减0 %。其中：一般公共预算财政拨款本年度收入为4610.35万元，上年度收入为0万元，增减0 %；政府性基金预算财政拨款本年度收入为85.95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本单位本年度总支出为4696.3万元，上年度总支出为0万元，增减0%。其中：基本支出本年度支出为193.08万元，上年度支出为0万元，增减0 %；项目支出本年度支出为4503.22万元，上年度支出为0万元，增减0 %。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本单位本年度机关运行经费总支出为6.38万元，上年度支出为0万元，增减0 %；主要为日常办公费、水电、差旅、印刷、委托业务费等费用。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本单位本年度政府采购总价为6.31万元，其中：货物采购6.31万元，工程采购0万元，服务采购0万元。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（1）房屋情况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截止2021年12月31日， 我单位产权房屋面积为0平方米，价值0万元。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（2）车辆情况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单位账面车辆为0辆，价值0万元。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ind w:firstLine="640" w:firstLineChars="200"/>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2021年度，本单位实行绩效目标管理的项目</w:t>
      </w:r>
      <w:r>
        <w:rPr>
          <w:rFonts w:hint="eastAsia" w:ascii="仿宋" w:hAnsi="仿宋" w:eastAsia="仿宋" w:cs="仿宋"/>
          <w:color w:val="000000"/>
          <w:kern w:val="0"/>
          <w:sz w:val="32"/>
          <w:szCs w:val="32"/>
          <w:lang w:val="en-US" w:eastAsia="zh-CN"/>
        </w:rPr>
        <w:t>7</w:t>
      </w:r>
      <w:r>
        <w:rPr>
          <w:rFonts w:hint="eastAsia" w:ascii="仿宋" w:hAnsi="仿宋" w:eastAsia="仿宋" w:cs="仿宋"/>
          <w:color w:val="000000"/>
          <w:kern w:val="0"/>
          <w:sz w:val="32"/>
          <w:szCs w:val="32"/>
        </w:rPr>
        <w:t>个</w:t>
      </w:r>
      <w:r>
        <w:rPr>
          <w:rFonts w:hint="eastAsia" w:ascii="仿宋" w:hAnsi="仿宋" w:eastAsia="仿宋" w:cs="仿宋"/>
          <w:color w:val="000000"/>
          <w:kern w:val="0"/>
          <w:sz w:val="32"/>
          <w:szCs w:val="32"/>
          <w:lang w:eastAsia="zh-CN"/>
        </w:rPr>
        <w:t>。</w:t>
      </w:r>
    </w:p>
    <w:p>
      <w:pPr>
        <w:pStyle w:val="2"/>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预算绩效管理工作开展情况。</w:t>
      </w:r>
    </w:p>
    <w:p>
      <w:pPr>
        <w:pStyle w:val="2"/>
        <w:keepNext w:val="0"/>
        <w:keepLines w:val="0"/>
        <w:pageBreakBefore w:val="0"/>
        <w:widowControl w:val="0"/>
        <w:numPr>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根据预算绩效管理要求，我部门组织对2021年度县级财政预算安排的专项资金类5个项目支出全面开展绩效自评，涉及预算资金174.24万元，占一般公共预算项目支出总额的35.31%。</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（2）部门决算中项目绩效自评结果。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2020年度目标责任考核奖励金项目绩效自评综述：根据年初设定的绩效目标，项目自评得分为99.70分。全年预算数为0.24万元，执行数为0.24万元，完成预算的100%。项目绩效目标完成情况：一是完成奖励人数2人；二是提高干部职工干事创业的积极性。发现的主要问题及原因：绩效评价工作相关规定和制度仍需要在具体的实施过程中进一步巩固完善。下一步改进措施：进一步立足我单位工作实际，改进和加强绩效评价工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调整下达2020年“煤改电”用户市级财政设备补贴项目绩效自评综述：根据年初设定的绩效目标，项目自评得分为99.46分。全年预算数为80万元，执行数为80万元，完成预算的100%。项目绩效目标完成情况：一是完成完成煤改电户数500户；二是改善地区空气环境质量污染情况。发现的主要问题及原因：部分干部职工对绩效评价工作认识和重视程度还有待加强。下一步改进工作作风，更进一步提升工作效能。</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b w:val="0"/>
          <w:bCs/>
          <w:color w:val="auto"/>
          <w:kern w:val="2"/>
          <w:sz w:val="32"/>
          <w:szCs w:val="32"/>
          <w:lang w:val="en-US" w:eastAsia="zh-CN" w:bidi="ar-SA"/>
        </w:rPr>
        <w:t>3）工作经费项目绩效自评综述：根据年初设定的绩效目标，项目自评得分为97.84分。全年预算数为2.00万元，执行数为2.00万元，完成预算的100%。项目绩效目标完成情况：进一步保障了单位正常运转。发现的主要问题及原因：绩效评价工作有的规定显得宽泛。下一步改进措施：与具体项目相衔接，制定规定制度更细致，便于执行。</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第四部分 部门名词解释</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四、“三公”经费：一般公共预算安排的因公出国（境）费、公务用车购置及运行费和公务接待费。</w:t>
      </w:r>
    </w:p>
    <w:p>
      <w:pPr>
        <w:rPr>
          <w:rFonts w:hint="eastAsia" w:ascii="仿宋" w:hAnsi="仿宋" w:eastAsia="仿宋" w:cs="仿宋"/>
          <w:color w:val="000000"/>
          <w:sz w:val="32"/>
          <w:szCs w:val="32"/>
        </w:rPr>
      </w:pPr>
    </w:p>
    <w:p>
      <w:pPr>
        <w:rPr>
          <w:rFonts w:hint="eastAsia" w:ascii="仿宋" w:hAnsi="仿宋" w:eastAsia="仿宋" w:cs="仿宋"/>
          <w:color w:val="000000"/>
          <w:sz w:val="32"/>
          <w:szCs w:val="32"/>
        </w:rPr>
      </w:pPr>
    </w:p>
    <w:p>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bookmarkStart w:id="0" w:name="_GoBack"/>
      <w:bookmarkEnd w:id="0"/>
    </w:p>
    <w:p>
      <w:pPr>
        <w:wordWrap w:val="0"/>
        <w:jc w:val="right"/>
        <w:rPr>
          <w:rFonts w:hint="eastAsia" w:ascii="仿宋" w:hAnsi="仿宋" w:eastAsia="仿宋" w:cs="仿宋"/>
          <w:color w:val="000000"/>
          <w:sz w:val="32"/>
          <w:szCs w:val="32"/>
          <w:lang w:val="en-US"/>
        </w:rPr>
      </w:pPr>
      <w:r>
        <w:rPr>
          <w:rFonts w:hint="eastAsia" w:ascii="仿宋" w:hAnsi="仿宋" w:eastAsia="仿宋" w:cs="仿宋"/>
          <w:color w:val="000000"/>
          <w:sz w:val="32"/>
          <w:szCs w:val="32"/>
        </w:rPr>
        <w:t xml:space="preserve">                                                       浑源县能源局</w:t>
      </w:r>
      <w:r>
        <w:rPr>
          <w:rFonts w:hint="eastAsia" w:ascii="仿宋" w:hAnsi="仿宋" w:eastAsia="仿宋" w:cs="仿宋"/>
          <w:color w:val="000000"/>
          <w:sz w:val="32"/>
          <w:szCs w:val="32"/>
          <w:lang w:val="en-US"/>
        </w:rPr>
        <w:t xml:space="preserve">  </w:t>
      </w:r>
    </w:p>
    <w:p>
      <w:pPr>
        <w:jc w:val="right"/>
        <w:rPr>
          <w:rFonts w:hint="eastAsia" w:ascii="仿宋" w:hAnsi="仿宋" w:eastAsia="仿宋" w:cs="仿宋"/>
        </w:rPr>
      </w:pPr>
      <w:r>
        <w:rPr>
          <w:rFonts w:hint="eastAsia" w:ascii="仿宋" w:hAnsi="仿宋" w:eastAsia="仿宋" w:cs="仿宋"/>
          <w:color w:val="000000"/>
          <w:sz w:val="32"/>
          <w:szCs w:val="32"/>
        </w:rPr>
        <w:t xml:space="preserve"> 2022年7月15日</w:t>
      </w:r>
    </w:p>
    <w:p>
      <w:pPr>
        <w:jc w:val="right"/>
        <w:rPr>
          <w:rFonts w:hint="eastAsia" w:ascii="仿宋" w:hAnsi="仿宋" w:eastAsia="仿宋" w:cs="仿宋"/>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442C36"/>
    <w:multiLevelType w:val="singleLevel"/>
    <w:tmpl w:val="6A442C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kYmVkNTBiZDkyNmFkNDQwOWM3YjVkMDUwYjM2YTUifQ=="/>
  </w:docVars>
  <w:rsids>
    <w:rsidRoot w:val="00000000"/>
    <w:rsid w:val="0DA43945"/>
    <w:rsid w:val="1A595881"/>
    <w:rsid w:val="359B02F9"/>
    <w:rsid w:val="35EFBE96"/>
    <w:rsid w:val="373B1603"/>
    <w:rsid w:val="3EAB0813"/>
    <w:rsid w:val="3F7FD4E8"/>
    <w:rsid w:val="57AF449B"/>
    <w:rsid w:val="5BB12AA7"/>
    <w:rsid w:val="5FFE00CE"/>
    <w:rsid w:val="76B3588B"/>
    <w:rsid w:val="77BF0C01"/>
    <w:rsid w:val="7CA536E5"/>
    <w:rsid w:val="F7DAE1D7"/>
    <w:rsid w:val="FFFDCF23"/>
    <w:rsid w:val="FFFE4B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5296</Words>
  <Characters>5469</Characters>
  <Lines>0</Lines>
  <Paragraphs>0</Paragraphs>
  <TotalTime>3</TotalTime>
  <ScaleCrop>false</ScaleCrop>
  <LinksUpToDate>false</LinksUpToDate>
  <CharactersWithSpaces>5609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Administrator</cp:lastModifiedBy>
  <dcterms:modified xsi:type="dcterms:W3CDTF">2022-07-22T02:24:12Z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7BCA695AB351488480BCBDBAAF5923C1</vt:lpwstr>
  </property>
</Properties>
</file>