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浑源县中医医院</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第一部分：浑源县中医医院概况</w:t>
      </w:r>
    </w:p>
    <w:p>
      <w:pPr>
        <w:numPr>
          <w:ilvl w:val="0"/>
          <w:numId w:val="1"/>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numPr>
          <w:ilvl w:val="0"/>
          <w:numId w:val="0"/>
        </w:numPr>
        <w:rPr>
          <w:rFonts w:hint="eastAsia" w:ascii="仿宋" w:hAnsi="仿宋" w:eastAsia="仿宋" w:cs="仿宋"/>
          <w:color w:val="auto"/>
          <w:kern w:val="0"/>
          <w:sz w:val="32"/>
          <w:szCs w:val="32"/>
          <w:lang w:val="en-US" w:eastAsia="zh-CN"/>
        </w:rPr>
      </w:pPr>
      <w:r>
        <w:rPr>
          <w:rFonts w:hint="eastAsia" w:ascii="仿宋" w:hAnsi="仿宋" w:eastAsia="仿宋" w:cs="仿宋"/>
          <w:color w:val="000000" w:themeColor="text1"/>
          <w:kern w:val="0"/>
          <w:sz w:val="32"/>
          <w:szCs w:val="32"/>
          <w:lang w:val="en-US" w:eastAsia="zh-CN"/>
          <w14:textFill>
            <w14:solidFill>
              <w14:schemeClr w14:val="tx1"/>
            </w14:solidFill>
          </w14:textFill>
        </w:rPr>
        <w:t xml:space="preserve">    </w:t>
      </w:r>
      <w:r>
        <w:rPr>
          <w:rFonts w:hint="eastAsia" w:ascii="仿宋" w:hAnsi="仿宋" w:eastAsia="仿宋" w:cs="仿宋"/>
          <w:color w:val="auto"/>
          <w:kern w:val="0"/>
          <w:sz w:val="32"/>
          <w:szCs w:val="32"/>
          <w:lang w:val="en-US" w:eastAsia="zh-CN"/>
        </w:rPr>
        <w:t>（一）深入贯彻习近平新时代中国特色社会主义思想，深入贯彻党的路线方针政策和决策部署，统一思想和行动，坚持党的绝对领导，坚决维护习近平总书记的核心地位，坚决维护党中央权威和集中统一领导。</w:t>
      </w:r>
    </w:p>
    <w:p>
      <w:pPr>
        <w:numPr>
          <w:ilvl w:val="0"/>
          <w:numId w:val="0"/>
        </w:numPr>
        <w:ind w:firstLine="640" w:firstLineChars="20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（二）为人民群众提供中西医医疗、预防、保健、计划生育、康复等医疗卫生服务。</w:t>
      </w:r>
    </w:p>
    <w:p>
      <w:pPr>
        <w:numPr>
          <w:ilvl w:val="0"/>
          <w:numId w:val="0"/>
        </w:numPr>
        <w:ind w:firstLine="640" w:firstLineChars="20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（三）贯彻落实医药卫生体制改革、中西医并重方针和国家中医药法律法规，执行中医药政策；拟定实施中医药、民族医药和中西医结合发展战略、规划；指导全县各医疗机构发展中医药和中西医结合业务建设。</w:t>
      </w:r>
    </w:p>
    <w:p>
      <w:pPr>
        <w:numPr>
          <w:ilvl w:val="0"/>
          <w:numId w:val="0"/>
        </w:numPr>
        <w:ind w:firstLine="640" w:firstLineChars="20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（四）确保全县人民中西医疗健康需求，建立与地方经济发展相适应的中西医结合医疗环境。加强中医医院标准化管理。</w:t>
      </w:r>
    </w:p>
    <w:p>
      <w:pPr>
        <w:numPr>
          <w:ilvl w:val="0"/>
          <w:numId w:val="0"/>
        </w:numPr>
        <w:ind w:firstLine="640" w:firstLineChars="20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（五）贯彻落实国家基本药物制度和药品集中采购工作，执行医用耗材集中采购工作；负责医院内部的药品和医疗器械管理工作。</w:t>
      </w:r>
    </w:p>
    <w:p>
      <w:pPr>
        <w:numPr>
          <w:ilvl w:val="0"/>
          <w:numId w:val="0"/>
        </w:numPr>
        <w:ind w:firstLine="640" w:firstLineChars="20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（六）承担意外灾害事故、疫情等突发公共卫生事件的医疗急救及社区预防、保健和康复医疗服务工作，开展各种医疗保健卫生知识宣传普及。</w:t>
      </w:r>
    </w:p>
    <w:p>
      <w:pPr>
        <w:numPr>
          <w:ilvl w:val="0"/>
          <w:numId w:val="0"/>
        </w:numPr>
        <w:ind w:firstLine="640" w:firstLineChars="20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（七）充分发挥中医药在国家基本公共卫生服务中的优势和作用，负责全县基本公共卫生服务中医药健康管理项目的实施和日常管理。</w:t>
      </w:r>
    </w:p>
    <w:p>
      <w:pPr>
        <w:numPr>
          <w:ilvl w:val="0"/>
          <w:numId w:val="0"/>
        </w:numPr>
        <w:ind w:firstLine="640" w:firstLineChars="20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（八）组织实施中西医药科学研究，推进医学科技成果转化和推广应用；承担中医药人才培养，中医药继续医学教育工作。</w:t>
      </w:r>
    </w:p>
    <w:p>
      <w:pPr>
        <w:numPr>
          <w:ilvl w:val="0"/>
          <w:numId w:val="0"/>
        </w:numPr>
        <w:ind w:firstLine="640" w:firstLineChars="20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（九）做好城镇职工基本医疗保险、城乡居民基本医疗保险等定点医疗机构的各项工作。</w:t>
      </w:r>
    </w:p>
    <w:p>
      <w:pPr>
        <w:numPr>
          <w:ilvl w:val="0"/>
          <w:numId w:val="0"/>
        </w:numPr>
        <w:ind w:firstLine="640" w:firstLineChars="20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（十）参与卫生扶贫、重要会议与重大活动的医疗卫生保障工作。</w:t>
      </w:r>
    </w:p>
    <w:p>
      <w:pPr>
        <w:numPr>
          <w:ilvl w:val="0"/>
          <w:numId w:val="0"/>
        </w:numPr>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auto"/>
          <w:kern w:val="0"/>
          <w:sz w:val="32"/>
          <w:szCs w:val="32"/>
          <w:lang w:val="en-US" w:eastAsia="zh-CN"/>
        </w:rPr>
        <w:t>（十一）承担县委政府及县卫生局交办的其他卫生工作。</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ind w:firstLine="320" w:firstLineChars="1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（一）临床科室：内科、妇科、肛肠科、老年病科、脑病科、针灸科、治未病科</w:t>
      </w:r>
    </w:p>
    <w:p>
      <w:pPr>
        <w:ind w:firstLine="320" w:firstLineChars="100"/>
        <w:rPr>
          <w:rFonts w:hint="eastAsia" w:ascii="仿宋" w:hAnsi="仿宋" w:eastAsia="仿宋" w:cs="仿宋"/>
          <w:color w:val="auto"/>
          <w:kern w:val="0"/>
          <w:sz w:val="32"/>
          <w:szCs w:val="32"/>
        </w:rPr>
      </w:pPr>
      <w:r>
        <w:rPr>
          <w:rFonts w:hint="eastAsia" w:ascii="仿宋" w:hAnsi="仿宋" w:eastAsia="仿宋" w:cs="仿宋"/>
          <w:color w:val="auto"/>
          <w:kern w:val="0"/>
          <w:sz w:val="32"/>
          <w:szCs w:val="32"/>
        </w:rPr>
        <w:t>（二）医技科室：检验科、影像科、心电图室、B超室、药剂科</w:t>
      </w:r>
    </w:p>
    <w:p>
      <w:pPr>
        <w:ind w:firstLine="320" w:firstLineChars="1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auto"/>
          <w:kern w:val="0"/>
          <w:sz w:val="32"/>
          <w:szCs w:val="32"/>
        </w:rPr>
        <w:t>（三）相关辅助科室</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附件：大同市浑源县中医医院-2021年度部门决算公开报表.xls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2605.55万元，上年度总收入为2884.52万元，增减-9.67 %。其中：一般公共预算财政拨款本年度收入为952.54万元，上年度收入为1234.35万元，增减-22.83 %；政府性基金预算财政拨款本年度收入为0万元，上年度收入为0万元，增减0 %；事业收入本年度收入为1624.26万元，上年度收入为1649.2万元，增减-1.51 %；其他收入本年度收入为28.75万元，上年度收入为0.97万元，增减2875.9%。</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2679.52万元，上年度总支出为2936.16万元，增减-8.74%。其中：基本支出本年度支出为2447.42万元，上年度支出为2535.59万元，增减-3.48 %；项目支出本年度支出为232.11万元，上年度支出为400.57万元，增减-42.06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本单位本年度政府采购总价为20.3万元，其中：货物采购0万元，工程采购0万元，服务采购20.3万元。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我单位产权房屋面积为9848.94平方米，价值666.7万元。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单位账面车辆为2辆，价值15.94万元。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2021年度，本单位实行绩效目标管理的项目</w:t>
      </w:r>
      <w:r>
        <w:rPr>
          <w:rFonts w:hint="eastAsia" w:ascii="仿宋" w:hAnsi="仿宋" w:eastAsia="仿宋" w:cs="仿宋"/>
          <w:color w:val="000000" w:themeColor="text1"/>
          <w:kern w:val="0"/>
          <w:sz w:val="32"/>
          <w:szCs w:val="32"/>
          <w:lang w:val="en-US" w:eastAsia="zh-CN"/>
          <w14:textFill>
            <w14:solidFill>
              <w14:schemeClr w14:val="tx1"/>
            </w14:solidFill>
          </w14:textFill>
        </w:rPr>
        <w:t>13</w:t>
      </w:r>
      <w:r>
        <w:rPr>
          <w:rFonts w:hint="eastAsia" w:ascii="仿宋" w:hAnsi="仿宋" w:eastAsia="仿宋" w:cs="仿宋"/>
          <w:color w:val="000000" w:themeColor="text1"/>
          <w:kern w:val="0"/>
          <w:sz w:val="32"/>
          <w:szCs w:val="32"/>
          <w14:textFill>
            <w14:solidFill>
              <w14:schemeClr w14:val="tx1"/>
            </w14:solidFill>
          </w14:textFill>
        </w:rPr>
        <w:t>个。</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（1）预算绩效管理工作开展情况。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根据预算绩效管理要求，我部门组织对2021年度</w:t>
      </w:r>
      <w:r>
        <w:rPr>
          <w:rFonts w:hint="eastAsia" w:ascii="仿宋" w:hAnsi="仿宋" w:eastAsia="仿宋" w:cs="仿宋"/>
          <w:color w:val="000000" w:themeColor="text1"/>
          <w:kern w:val="0"/>
          <w:sz w:val="32"/>
          <w:szCs w:val="32"/>
          <w:lang w:eastAsia="zh-CN"/>
          <w14:textFill>
            <w14:solidFill>
              <w14:schemeClr w14:val="tx1"/>
            </w14:solidFill>
          </w14:textFill>
        </w:rPr>
        <w:t>县</w:t>
      </w:r>
      <w:r>
        <w:rPr>
          <w:rFonts w:hint="eastAsia" w:ascii="仿宋" w:hAnsi="仿宋" w:eastAsia="仿宋" w:cs="仿宋"/>
          <w:color w:val="000000" w:themeColor="text1"/>
          <w:kern w:val="0"/>
          <w:sz w:val="32"/>
          <w:szCs w:val="32"/>
          <w14:textFill>
            <w14:solidFill>
              <w14:schemeClr w14:val="tx1"/>
            </w14:solidFill>
          </w14:textFill>
        </w:rPr>
        <w:t>级财政预算安排的专项资金类13个项目支出全面开展绩效自评，涉及预算资金318.43万元，占一般公共预算项目支出总额的</w:t>
      </w:r>
      <w:r>
        <w:rPr>
          <w:rFonts w:hint="eastAsia" w:ascii="仿宋" w:hAnsi="仿宋" w:eastAsia="仿宋" w:cs="仿宋"/>
          <w:color w:val="000000" w:themeColor="text1"/>
          <w:kern w:val="0"/>
          <w:sz w:val="32"/>
          <w:szCs w:val="32"/>
          <w:lang w:val="en-US" w:eastAsia="zh-CN"/>
          <w14:textFill>
            <w14:solidFill>
              <w14:schemeClr w14:val="tx1"/>
            </w14:solidFill>
          </w14:textFill>
        </w:rPr>
        <w:t>100</w:t>
      </w:r>
      <w:r>
        <w:rPr>
          <w:rFonts w:hint="eastAsia" w:ascii="仿宋" w:hAnsi="仿宋" w:eastAsia="仿宋" w:cs="仿宋"/>
          <w:color w:val="000000" w:themeColor="text1"/>
          <w:kern w:val="0"/>
          <w:sz w:val="32"/>
          <w:szCs w:val="32"/>
          <w14:textFill>
            <w14:solidFill>
              <w14:schemeClr w14:val="tx1"/>
            </w14:solidFill>
          </w14:textFill>
        </w:rPr>
        <w:t>%。我部门无政府性基金预算项目支出，没有对2021年度政府性基金预算项目支出开展绩效自评。</w:t>
      </w:r>
    </w:p>
    <w:p>
      <w:pPr>
        <w:numPr>
          <w:ilvl w:val="0"/>
          <w:numId w:val="2"/>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部门决算中项目绩效自评结果。</w:t>
      </w:r>
    </w:p>
    <w:p>
      <w:pPr>
        <w:numPr>
          <w:numId w:val="0"/>
        </w:numPr>
        <w:ind w:firstLine="64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2021年全省优秀医师、优秀护士、名中医受表彰奖资金项目绩效自评综述：根据年初设定的绩效目标，项目自评得分为100分。全年预算数为0.3万元，执行数为0.3万元，完成预算的100%。项目绩效目标完成情况：奖励本院受表彰人员，提高职工的工作积极性和创造性。</w:t>
      </w:r>
    </w:p>
    <w:p>
      <w:pPr>
        <w:numPr>
          <w:numId w:val="0"/>
        </w:numPr>
        <w:ind w:firstLine="64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default" w:ascii="仿宋" w:hAnsi="仿宋" w:eastAsia="仿宋" w:cs="仿宋"/>
          <w:color w:val="000000" w:themeColor="text1"/>
          <w:kern w:val="0"/>
          <w:sz w:val="32"/>
          <w:szCs w:val="32"/>
          <w:lang w:val="en-US" w:eastAsia="zh-CN"/>
          <w14:textFill>
            <w14:solidFill>
              <w14:schemeClr w14:val="tx1"/>
            </w14:solidFill>
          </w14:textFill>
        </w:rPr>
        <w:t>2021年医疗服务与保障能力提升补助资金（中医药事业传承与发展部分）</w:t>
      </w:r>
      <w:r>
        <w:rPr>
          <w:rFonts w:hint="eastAsia" w:ascii="仿宋" w:hAnsi="仿宋" w:eastAsia="仿宋" w:cs="仿宋"/>
          <w:color w:val="000000" w:themeColor="text1"/>
          <w:kern w:val="0"/>
          <w:sz w:val="32"/>
          <w:szCs w:val="32"/>
          <w:lang w:val="en-US" w:eastAsia="zh-CN"/>
          <w14:textFill>
            <w14:solidFill>
              <w14:schemeClr w14:val="tx1"/>
            </w14:solidFill>
          </w14:textFill>
        </w:rPr>
        <w:t>项目绩效自评综述：根据年初设定的绩效目标，项目自评得分为100分。全年预算数为10万元，执行数为10万元，完成预算的100%。项目绩效目标完成情况：一、购置病案系统服务器一套；二、完善病案管理体系一套。</w:t>
      </w:r>
    </w:p>
    <w:p>
      <w:pPr>
        <w:numPr>
          <w:numId w:val="0"/>
        </w:numPr>
        <w:ind w:firstLine="640"/>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default" w:ascii="仿宋" w:hAnsi="仿宋" w:eastAsia="仿宋" w:cs="仿宋"/>
          <w:color w:val="000000" w:themeColor="text1"/>
          <w:kern w:val="0"/>
          <w:sz w:val="32"/>
          <w:szCs w:val="32"/>
          <w:lang w:val="en-US" w:eastAsia="zh-CN"/>
          <w14:textFill>
            <w14:solidFill>
              <w14:schemeClr w14:val="tx1"/>
            </w14:solidFill>
          </w14:textFill>
        </w:rPr>
        <w:t>2021年基本公共卫生服务市级补助资金</w:t>
      </w:r>
      <w:r>
        <w:rPr>
          <w:rFonts w:hint="eastAsia" w:ascii="仿宋" w:hAnsi="仿宋" w:eastAsia="仿宋" w:cs="仿宋"/>
          <w:color w:val="000000" w:themeColor="text1"/>
          <w:kern w:val="0"/>
          <w:sz w:val="32"/>
          <w:szCs w:val="32"/>
          <w:lang w:val="en-US" w:eastAsia="zh-CN"/>
          <w14:textFill>
            <w14:solidFill>
              <w14:schemeClr w14:val="tx1"/>
            </w14:solidFill>
          </w14:textFill>
        </w:rPr>
        <w:t>项目绩效自评综述：根据年初设定的绩效目标，项目自评得分为100分。全年预算数为1万元，执行数为1万元，完成预算的100%。项目绩效目标完成情况：一、购置艾灸耗材1000份；二、印刷中医药适宜技术宣传材料10000份；三、印刷中医门诊病历本3000份。</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rPr>
          <w:rFonts w:hint="eastAsia" w:ascii="仿宋" w:hAnsi="仿宋" w:eastAsia="仿宋" w:cs="仿宋"/>
          <w:color w:val="000000" w:themeColor="text1"/>
          <w:sz w:val="32"/>
          <w:szCs w:val="32"/>
          <w14:textFill>
            <w14:solidFill>
              <w14:schemeClr w14:val="tx1"/>
            </w14:solidFill>
          </w14:textFill>
        </w:rPr>
      </w:pPr>
    </w:p>
    <w:p>
      <w:pPr>
        <w:rPr>
          <w:rFonts w:hint="eastAsia" w:ascii="仿宋" w:hAnsi="仿宋" w:eastAsia="仿宋" w:cs="仿宋"/>
          <w:color w:val="000000" w:themeColor="text1"/>
          <w:sz w:val="32"/>
          <w:szCs w:val="32"/>
          <w14:textFill>
            <w14:solidFill>
              <w14:schemeClr w14:val="tx1"/>
            </w14:solidFill>
          </w14:textFill>
        </w:rPr>
      </w:pPr>
    </w:p>
    <w:p>
      <w:pPr>
        <w:jc w:val="right"/>
        <w:rPr>
          <w:rFonts w:hint="eastAsia" w:ascii="仿宋" w:hAnsi="仿宋" w:eastAsia="仿宋" w:cs="仿宋"/>
          <w:sz w:val="32"/>
          <w:szCs w:val="32"/>
          <w:lang w:eastAsia="zh-CN"/>
        </w:rPr>
      </w:pPr>
      <w:r>
        <w:rPr>
          <w:rFonts w:hint="eastAsia" w:ascii="仿宋" w:hAnsi="仿宋" w:eastAsia="仿宋" w:cs="仿宋"/>
          <w:sz w:val="32"/>
          <w:szCs w:val="32"/>
          <w:lang w:eastAsia="zh-CN"/>
        </w:rPr>
        <w:t>浑源县中医医院</w:t>
      </w:r>
    </w:p>
    <w:p>
      <w:pPr>
        <w:jc w:val="righ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2022年7月15日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69132"/>
    <w:multiLevelType w:val="singleLevel"/>
    <w:tmpl w:val="8A369132"/>
    <w:lvl w:ilvl="0" w:tentative="0">
      <w:start w:val="1"/>
      <w:numFmt w:val="chineseCounting"/>
      <w:suff w:val="nothing"/>
      <w:lvlText w:val="%1、"/>
      <w:lvlJc w:val="left"/>
      <w:rPr>
        <w:rFonts w:hint="eastAsia"/>
      </w:rPr>
    </w:lvl>
  </w:abstractNum>
  <w:abstractNum w:abstractNumId="1">
    <w:nsid w:val="68600B23"/>
    <w:multiLevelType w:val="singleLevel"/>
    <w:tmpl w:val="68600B23"/>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U2Yjg2NDNjZWFhZjc0ODYxMDJiODIzOGQ1YTRlYWUifQ=="/>
  </w:docVars>
  <w:rsids>
    <w:rsidRoot w:val="00000000"/>
    <w:rsid w:val="0E214D05"/>
    <w:rsid w:val="1F6C3E55"/>
    <w:rsid w:val="2DE55AB4"/>
    <w:rsid w:val="5186314A"/>
    <w:rsid w:val="57B11AA6"/>
    <w:rsid w:val="5A8E2EAB"/>
    <w:rsid w:val="5AF96577"/>
    <w:rsid w:val="636514E8"/>
    <w:rsid w:val="66C13C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2981</Words>
  <Characters>3185</Characters>
  <Lines>0</Lines>
  <Paragraphs>0</Paragraphs>
  <TotalTime>5</TotalTime>
  <ScaleCrop>false</ScaleCrop>
  <LinksUpToDate>false</LinksUpToDate>
  <CharactersWithSpaces>3327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2022-07-13T03:21:03Z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58F01052079848DAACF8CBC480E5E335</vt:lpwstr>
  </property>
</Properties>
</file>