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浑源县能源局</w:t>
      </w:r>
    </w:p>
    <w:p>
      <w:pPr>
        <w:jc w:val="center"/>
        <w:rPr>
          <w:rFonts w:hint="eastAsia" w:ascii="黑体" w:hAnsi="黑体" w:eastAsia="黑体" w:cs="黑体"/>
          <w:color w:val="000000"/>
          <w:sz w:val="36"/>
          <w:szCs w:val="36"/>
        </w:rPr>
      </w:pPr>
      <w:r>
        <w:rPr>
          <w:rFonts w:hint="eastAsia" w:ascii="黑体" w:hAnsi="黑体" w:eastAsia="黑体" w:cs="黑体"/>
          <w:color w:val="000000"/>
          <w:sz w:val="36"/>
          <w:szCs w:val="36"/>
        </w:rPr>
        <w:t>2021年度部门决算公开说明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目录</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 部门及单位概况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 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表一：GK01 收入支出决算总表(公开01表)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表二：GK02 收入决算表(公开02表)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表三：GK03 支出决算表(公开03表)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表四：GK04 财政拨款收入支出决算总表(公开04表)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表五：GK05 一般公共预算财政拨款支出决算表（一）(公开05表)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表六：GK06 一般公共预算财政拨款支出决算表（二）(公开06表)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表七：GK07 一般公共预算财政拨款“三公”经费支出决算表(公开07)</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表八：GK08 政府性基金预算财政拨款收入支出决算表(公开08表)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表九：GK09 国有资本经营预算财政拨款支出决算表(公开09表)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表十：GK10 部门决算公开相关信息统计表(公开10表)</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 2021年度部门决算情况说明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w:t>
      </w:r>
      <w:bookmarkStart w:id="0" w:name="_GoBack"/>
      <w:bookmarkEnd w:id="0"/>
      <w:r>
        <w:rPr>
          <w:rFonts w:hint="eastAsia" w:ascii="仿宋" w:hAnsi="仿宋" w:eastAsia="仿宋" w:cs="仿宋"/>
          <w:color w:val="000000"/>
          <w:kern w:val="0"/>
          <w:sz w:val="32"/>
          <w:szCs w:val="32"/>
        </w:rPr>
        <w:t>支出情况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第四部分 部门名词解释</w:t>
      </w:r>
    </w:p>
    <w:p>
      <w:pPr>
        <w:rPr>
          <w:rFonts w:hint="eastAsia" w:ascii="仿宋" w:hAnsi="仿宋" w:eastAsia="仿宋" w:cs="仿宋"/>
          <w:b/>
          <w:color w:val="000000"/>
          <w:kern w:val="0"/>
          <w:sz w:val="32"/>
          <w:szCs w:val="32"/>
        </w:rPr>
      </w:pP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内容</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第一部分：浑源县能源局概况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贯彻落实国家、省、市有关能源工作的法律、法规和政策，研究拟定全县能源发展战略和发展规划，推进能源体制改革。涉及能源发展的重大规划和投资项目管理等，由县发展和改革局牵头，以联席会议制度进行协调协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）负责全县能源行业管理。组织拟定全县煤炭、电力、石油、天然气、新能源和可再生能源等能源产业的相关标准并组织实施。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（三）按规定权限，负责审批、核准、审核能源固定资产投资项目，并负责组织项目竣工验收。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负责能源预测预警，监测全县能源发展状况，发布能源信息，参与能源运行调节和应急保障。拟订石油、天然气战略储备规划，提出石油、天然气战略储备收储、动用建议，经县发展和改革局审核后，报县人民政府审批，按程序上报核准并组织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牵头组织全县节能降耗工作，拟订年度工作计划、预期建议目标并组织实施。承担能源行业节能降耗和清洁生产。研究拟定全县年度能源消费总量建议控制目标，指导、监督能源消费总控制有关工作，衔接能源生产和供需平衡。牵头组织全县节能监督管理和节能监察工作。负责能源领域节能降耗监察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（六）协调落实推进电力发展和改革中的重大问题。负责全县电力运行管理。负责供电营业区的划分、变更和《供电营业许可证》申请资料的审核上报工作。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（七）负责石油、天然气等管道建设和保护。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（八）指导协调新能源、可再生能源、农村电网和农村能源发展工作。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（九）负责能源领域科技进步、装备和节能技术改造等相关工作，推广应用新产品、新技术、新设备。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（十）参与制定与能源相关的资源、环保及应对气候变化等规章。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（十一）完成县委、县人民政府交办的其他任务。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ニ）职能转变。县能源局要围绕山西建设全国资源型经济转型发展示范区和打造全国能源革命排头兵战略，研究提出全县能源发展战略、政策和规划，提出能源体制改革建议，转变能源管理和服务职能，减少微观管理和具体审批事项。制定能源领域的相关规划，加强事中事后监管，激发市场主体活力。</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二、机构设置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综合办公室（机关党办）。负责机关日常运转，承担信息、档案、信访、政务公开、重要文稿起草和行政后勤等工作。研究能源重大问题，承担有关规范性文件的合法性审查工作。承担行政复议、行政应诉等工作。牵头负责能源改革相关工作。承担县委、县人民政府年度目标责任制考核工作。对全县能源行业职业教育培训工作进行组织协调和业务指导。研究提出能源发展战略建议，牵头组织拟订能源发展中长期规划和年度计划。承担能源综合业务，布局重大能源产业项目，推进全县能源结构战略性调整。按规定权限，负责审批、核准、审核煤炭、电力、石油、天然气、新能源和可再生能源等固定资产投资项目。提出煤矿安全改造项目的初审意见。牵头负责能源领域行政审批项目的事中事后监管。监督指导能源领域（煤矿安全除外）行政执法工作。指导能源（煤矿矿安全除外）产业加强安全生产管理和隐患排查治理工作。承担重大突发事件状态下能源物资的紧急调度和综合协调。参与重特大安全生产事故的调查、处理。负责本部门政务服务管理工作，负责本部门具有审批性质行政职权事项的受理、办理或牵头组织联审联办工作，本系统</w:t>
      </w:r>
      <w:r>
        <w:rPr>
          <w:rFonts w:hint="eastAsia" w:ascii="仿宋" w:hAnsi="仿宋" w:eastAsia="仿宋" w:cs="仿宋"/>
          <w:sz w:val="32"/>
          <w:szCs w:val="32"/>
          <w:lang w:eastAsia="zh-CN"/>
        </w:rPr>
        <w:t>行政审批事项</w:t>
      </w:r>
      <w:r>
        <w:rPr>
          <w:rFonts w:hint="eastAsia" w:ascii="仿宋" w:hAnsi="仿宋" w:eastAsia="仿宋" w:cs="仿宋"/>
          <w:sz w:val="32"/>
          <w:szCs w:val="32"/>
        </w:rPr>
        <w:t>的受理、办理或牵头组织联审联办工作，本系统行政审批制度改革工作。负责全县能源领域财务指标的统计、汇总及分析工作。负责机关的财务管理和社保、医保、公积金等资金的代扣代缴工作。负责机关和直属单位内部审计工作。负责机关和直属单位的党群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ニ）煤炭电力油气股。负责煤炭行业（煤矿安全除外）管理。落实煤炭开发发展规划、计划和政策并组织实施。负责煤炭生产总量调控、产能置换和重组整合相关工作。负责全县煤矿、洗（选）煤厂产业布局、淘汰落后和初步设计、项目开工及联合试运转审批，并负责组织综合竣工验收工作。负责煤矿（含洗选煤厂）改扩建（含技术改造）审批。负责全县煤矿建设工程质量监督工作。承担煤炭改革相关工作。负责煤炭行业（煤矿安全除外）相关管理工作。指导全县煤矿、洗（选）煤厂的生产技术工作，贯彻落实相关生产技术规范、规程和标准。负责煤矿生产能力核定、煤矿生产能力登记公告管理等工作。指导全县煤炭质量管理。负责电力行业管理。承担电力运行协调工作。组织拟订电力、电网等专项规划、年度计划并组织实施。负责全县电力电量综合平衡预案和电力年度计划编制及管理，配合省市相关部门积极参与电力外送市场拓展。协调处理电力发展和改革中的问题。负责供电营业区的划分、变更和《供电营业许可证》的申请资料的审核上报工作。负责石油、天然气等行业管理。拟订并组织实施石油、天然气等行业发展规划、年度计划并组织实施。负责石油、天然气等管道建设和保护。负责石油、天然气等综合利用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（三）新能源和节能减排股。负责新能源行业管理。指导协调新能源、可再生能源、农村电网和农村能源发展，组织拟订新能源、水能、生物质能和其他可再生能源发展规划</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和计划并组织实施。指导能源清洁高效利用工作。拟订煤炭加工转化为清洁能源产品的发展规划。研究拟订绿色能源、促进产业提质发展办法并组织实施。负责煤电的清洁生产工作。参与编制生态建设、环境保护规划，配合相关部门促进能源领城的资源节约和环境保护工作。牵头组织全县节能降耗工作，拟订年度工作计划和预期建议目标并推动实施。承担全县能源领域节能降耗工作，拟订能源领域节能的相关规划和计划并组织实施。牵头组织全县节能监督管理和节能监察工作，负责能源领域节能降耗的监察工作。制定全县能源消费总量建议控制目标。指导、监督能源消费总量控制有关工作。负责能源领域科技进步、装备和节能技术改造等相关工作，推广应用新产品、新技术、新设备。统筹推进能源领域信息化工作，牵头负责能源领域综合统计作。监测全县能源运行情况，分析能源运行动态，协调能源运行中重大问题。负责能源预测预警，发布能源信息。提出能源价格调整和进出口总量建议。参与协调全县煤电油气保障工作。</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第二部分：2021年度部门决算公开报表</w:t>
      </w:r>
    </w:p>
    <w:p>
      <w:pP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附件：大同市浑源县能源局-2021年度部门决算公开报表.xls</w:t>
      </w:r>
    </w:p>
    <w:p>
      <w:pPr>
        <w:rPr>
          <w:rFonts w:hint="eastAsia" w:ascii="仿宋" w:hAnsi="仿宋" w:eastAsia="仿宋" w:cs="仿宋"/>
          <w:b/>
          <w:color w:val="000000"/>
          <w:kern w:val="0"/>
          <w:sz w:val="32"/>
          <w:szCs w:val="32"/>
        </w:rPr>
      </w:pPr>
      <w:r>
        <w:rPr>
          <w:rFonts w:hint="eastAsia" w:ascii="仿宋" w:hAnsi="仿宋" w:eastAsia="仿宋" w:cs="仿宋"/>
          <w:b/>
          <w:color w:val="000000"/>
          <w:kern w:val="0"/>
          <w:sz w:val="32"/>
          <w:szCs w:val="32"/>
        </w:rPr>
        <w:t>第三部分：2021年度部门决算情况说明</w:t>
      </w:r>
    </w:p>
    <w:p>
      <w:pPr>
        <w:ind w:left="424"/>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一、决算收入情况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收入为4696.3万元，上年度总收入为0万元，增减0 %。其中：一般公共预算财政拨款本年度收入为4610.35万元，上年度收入为0万元，增减0 %；政府性基金预算财政拨款本年度收入为85.95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二、决算支出情况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本单位本年度总支出为4696.3万元，上年度总支出为0万元，增减0%。其中：基本支出本年度支出为193.08万元，上年度支出为0万元，增减0 %；项目支出本年度支出为4503.22万元，上年度支出为0万元，增减0 %。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三、“三公”经费情况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四、机关运行经费情况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本单位本年度机关运行经费总支出为6.38万元，上年度支出为0万元，增减0 %；主要为日常办公费、水电、差旅、印刷、委托业务费等费用。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五、政府决算采购情况说明</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本单位本年度政府采购总价为6.31万元，其中：货物采购6.31万元，工程采购0万元，服务采购0万元。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六、国有资产占有使用情况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（1）房屋情况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截止2021年12月31日， 我单位产权房屋面积为0平方米，价值0万元。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（2）车辆情况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单位账面车辆为0辆，价值0万元。</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七、绩效情况说明</w:t>
      </w:r>
    </w:p>
    <w:p>
      <w:pPr>
        <w:ind w:firstLine="640" w:firstLineChars="200"/>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2021年度，本单位实行绩效目标管理的项目</w:t>
      </w:r>
      <w:r>
        <w:rPr>
          <w:rFonts w:hint="eastAsia" w:ascii="仿宋" w:hAnsi="仿宋" w:eastAsia="仿宋" w:cs="仿宋"/>
          <w:color w:val="000000"/>
          <w:kern w:val="0"/>
          <w:sz w:val="32"/>
          <w:szCs w:val="32"/>
          <w:lang w:val="en-US" w:eastAsia="zh-CN"/>
        </w:rPr>
        <w:t>7</w:t>
      </w:r>
      <w:r>
        <w:rPr>
          <w:rFonts w:hint="eastAsia" w:ascii="仿宋" w:hAnsi="仿宋" w:eastAsia="仿宋" w:cs="仿宋"/>
          <w:color w:val="000000"/>
          <w:kern w:val="0"/>
          <w:sz w:val="32"/>
          <w:szCs w:val="32"/>
        </w:rPr>
        <w:t>个</w:t>
      </w:r>
      <w:r>
        <w:rPr>
          <w:rFonts w:hint="eastAsia" w:ascii="仿宋" w:hAnsi="仿宋" w:eastAsia="仿宋" w:cs="仿宋"/>
          <w:color w:val="000000"/>
          <w:kern w:val="0"/>
          <w:sz w:val="32"/>
          <w:szCs w:val="32"/>
          <w:lang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预算绩效管理工作开展情况。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根据预算绩效管理要求，我部门组织对2021年度县级财政预算安排的专项资金类5个项目支出全面开展绩效自评，涉及预算资金174.24万元，占一般公共预算项目支出总额的35.31%。</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2020年度目标责任考核奖励金项目绩效自评综述：根据年初设定的绩效目标，项目自评得分为99.70分。全年预算数为0.24万元，执行数为0.24万元，完成预算的100%。项目绩效目标完成情况：一是完成奖励人数2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调整下达2020年“煤改电”用户市级财政设备补贴项目绩效自评综述：根据年初设定的绩效目标，项目自评得分为99.46分。全年预算数为80万元，执行数为80万元，完成预算的100%。项目绩效目标完成情况：一是完成完成煤改电户数500户；二是改善地区空气环境质量污染情况。发现的主要问题及原因：部分干部职工对绩效评价工作认识和重视程度还有待加强。下一步改进工作作风，更进一步提升工作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b w:val="0"/>
          <w:bCs/>
          <w:color w:val="auto"/>
          <w:kern w:val="2"/>
          <w:sz w:val="32"/>
          <w:szCs w:val="32"/>
          <w:lang w:val="en-US" w:eastAsia="zh-CN" w:bidi="ar-SA"/>
        </w:rPr>
        <w:t>3）工作经费项目绩效自评综述：根据年初设定的绩效目标，项目自评得分为97.84分。全年预算数为2.00万元，执行数为2.00万元，完成预算的100%。项目绩效目标完成情况：进一步保障了单位正常运转。发现的主要问题及原因：绩效评价工作有的规定显得宽泛。下一步改进措施：与具体项目相衔接，制定规定制度更细致，便于执行。</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第四部分 部门名词解释</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2、上级补助收入：填列事业单位从主管部门和上级单位取得的非财政补助收入。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5、附属单位上缴收入：填列事业单位附独立核算单位按照有关规定上缴的收入。</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1、基本支出：填列单位为保障机构正常运转、完成日常工作任务而发生的各项支出。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3、上缴上级支出：填列事业单位按照财政部门和主管部门的规定上缴上级单位的支出。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4、经营支出：填列事业单位在专业活动及辅助活动之外开展非独立核算经营活动发生的支出。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5、附属单位补助支出：填列事业单位用财政补助收入之外的收入对附属单位补助发生的支出。</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四、“三公”经费：一般公共预算安排的因公出国（境）费、公务用车购置及运行费和公务接待费。</w:t>
      </w:r>
    </w:p>
    <w:p>
      <w:pPr>
        <w:rPr>
          <w:rFonts w:hint="eastAsia" w:ascii="仿宋" w:hAnsi="仿宋" w:eastAsia="仿宋" w:cs="仿宋"/>
          <w:color w:val="000000"/>
          <w:sz w:val="32"/>
          <w:szCs w:val="32"/>
        </w:rPr>
      </w:pPr>
    </w:p>
    <w:p>
      <w:pPr>
        <w:rPr>
          <w:rFonts w:hint="eastAsia" w:ascii="仿宋" w:hAnsi="仿宋" w:eastAsia="仿宋" w:cs="仿宋"/>
          <w:color w:val="000000"/>
          <w:sz w:val="32"/>
          <w:szCs w:val="32"/>
        </w:rPr>
      </w:pPr>
    </w:p>
    <w:p>
      <w:pPr>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wordWrap w:val="0"/>
        <w:jc w:val="right"/>
        <w:rPr>
          <w:rFonts w:hint="eastAsia" w:ascii="仿宋" w:hAnsi="仿宋" w:eastAsia="仿宋" w:cs="仿宋"/>
          <w:color w:val="000000"/>
          <w:sz w:val="32"/>
          <w:szCs w:val="32"/>
          <w:lang w:val="en-US"/>
        </w:rPr>
      </w:pPr>
      <w:r>
        <w:rPr>
          <w:rFonts w:hint="eastAsia" w:ascii="仿宋" w:hAnsi="仿宋" w:eastAsia="仿宋" w:cs="仿宋"/>
          <w:color w:val="000000"/>
          <w:sz w:val="32"/>
          <w:szCs w:val="32"/>
        </w:rPr>
        <w:t xml:space="preserve">                                                       浑源县能源局</w:t>
      </w:r>
      <w:r>
        <w:rPr>
          <w:rFonts w:hint="eastAsia" w:ascii="仿宋" w:hAnsi="仿宋" w:eastAsia="仿宋" w:cs="仿宋"/>
          <w:color w:val="000000"/>
          <w:sz w:val="32"/>
          <w:szCs w:val="32"/>
          <w:lang w:val="en-US"/>
        </w:rPr>
        <w:t xml:space="preserve">  </w:t>
      </w:r>
    </w:p>
    <w:p>
      <w:pPr>
        <w:jc w:val="right"/>
        <w:rPr>
          <w:rFonts w:hint="eastAsia" w:ascii="仿宋" w:hAnsi="仿宋" w:eastAsia="仿宋" w:cs="仿宋"/>
        </w:rPr>
      </w:pPr>
      <w:r>
        <w:rPr>
          <w:rFonts w:hint="eastAsia" w:ascii="仿宋" w:hAnsi="仿宋" w:eastAsia="仿宋" w:cs="仿宋"/>
          <w:color w:val="000000"/>
          <w:sz w:val="32"/>
          <w:szCs w:val="32"/>
        </w:rPr>
        <w:t xml:space="preserve"> 2022年7月15日</w:t>
      </w:r>
    </w:p>
    <w:p>
      <w:pPr>
        <w:jc w:val="right"/>
        <w:rPr>
          <w:rFonts w:hint="eastAsia" w:ascii="仿宋" w:hAnsi="仿宋" w:eastAsia="仿宋" w:cs="仿宋"/>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442C36"/>
    <w:multiLevelType w:val="singleLevel"/>
    <w:tmpl w:val="6A442C3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00000000"/>
    <w:rsid w:val="0DA43945"/>
    <w:rsid w:val="1A595881"/>
    <w:rsid w:val="359B02F9"/>
    <w:rsid w:val="35EFBE96"/>
    <w:rsid w:val="373B1603"/>
    <w:rsid w:val="3EAB0813"/>
    <w:rsid w:val="3F7FD4E8"/>
    <w:rsid w:val="57AF449B"/>
    <w:rsid w:val="5BB12AA7"/>
    <w:rsid w:val="5FFE00CE"/>
    <w:rsid w:val="6CA6576C"/>
    <w:rsid w:val="76B3588B"/>
    <w:rsid w:val="77BF0C01"/>
    <w:rsid w:val="7CA536E5"/>
    <w:rsid w:val="F7DAE1D7"/>
    <w:rsid w:val="FFFDCF23"/>
    <w:rsid w:val="FFFE4B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5296</Words>
  <Characters>5469</Characters>
  <Lines>0</Lines>
  <Paragraphs>0</Paragraphs>
  <TotalTime>3</TotalTime>
  <ScaleCrop>false</ScaleCrop>
  <LinksUpToDate>false</LinksUpToDate>
  <CharactersWithSpaces>5609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温暖</cp:lastModifiedBy>
  <dcterms:modified xsi:type="dcterms:W3CDTF">2024-02-26T08:27:27Z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7BCA695AB351488480BCBDBAAF5923C1</vt:lpwstr>
  </property>
</Properties>
</file>