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lang w:eastAsia="zh-CN"/>
          <w14:textFill>
            <w14:solidFill>
              <w14:schemeClr w14:val="tx1"/>
            </w14:solidFill>
          </w14:textFill>
        </w:rPr>
      </w:pPr>
      <w:r>
        <w:rPr>
          <w:rFonts w:hint="eastAsia" w:ascii="黑体" w:hAnsi="黑体" w:eastAsia="黑体"/>
          <w:color w:val="000000" w:themeColor="text1"/>
          <w:sz w:val="36"/>
          <w:szCs w:val="36"/>
          <w:lang w:eastAsia="zh-CN"/>
          <w14:textFill>
            <w14:solidFill>
              <w14:schemeClr w14:val="tx1"/>
            </w14:solidFill>
          </w14:textFill>
        </w:rPr>
        <w:t>中国共产党浑源县委员会办公室</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方正仿宋简体" w:hAnsi="黑体" w:eastAsia="方正仿宋简体"/>
          <w:b/>
          <w:color w:val="000000" w:themeColor="text1"/>
          <w:kern w:val="0"/>
          <w:sz w:val="32"/>
          <w:szCs w:val="32"/>
          <w14:textFill>
            <w14:solidFill>
              <w14:schemeClr w14:val="tx1"/>
            </w14:solidFill>
          </w14:textFill>
        </w:rPr>
      </w:pPr>
      <w:r>
        <w:rPr>
          <w:rFonts w:hint="eastAsia" w:ascii="方正仿宋简体" w:hAnsi="黑体" w:eastAsia="方正仿宋简体"/>
          <w:b/>
          <w:color w:val="000000" w:themeColor="text1"/>
          <w:kern w:val="0"/>
          <w:sz w:val="32"/>
          <w:szCs w:val="32"/>
          <w14:textFill>
            <w14:solidFill>
              <w14:schemeClr w14:val="tx1"/>
            </w14:solidFill>
          </w14:textFill>
        </w:rPr>
        <w:t>目录</w:t>
      </w:r>
    </w:p>
    <w:p>
      <w:pPr>
        <w:rPr>
          <w:rFonts w:ascii="方正仿宋简体" w:hAnsi="黑体" w:eastAsia="方正仿宋简体"/>
          <w:b/>
          <w:color w:val="000000" w:themeColor="text1"/>
          <w:kern w:val="0"/>
          <w:sz w:val="32"/>
          <w:szCs w:val="32"/>
          <w14:textFill>
            <w14:solidFill>
              <w14:schemeClr w14:val="tx1"/>
            </w14:solidFill>
          </w14:textFill>
        </w:rPr>
      </w:pPr>
      <w:r>
        <w:rPr>
          <w:rFonts w:hint="eastAsia" w:ascii="方正仿宋简体" w:hAnsi="黑体" w:eastAsia="方正仿宋简体"/>
          <w:b/>
          <w:color w:val="000000" w:themeColor="text1"/>
          <w:kern w:val="0"/>
          <w:sz w:val="32"/>
          <w:szCs w:val="32"/>
          <w14:textFill>
            <w14:solidFill>
              <w14:schemeClr w14:val="tx1"/>
            </w14:solidFill>
          </w14:textFill>
        </w:rPr>
        <w:t>第一部分 部门及单位概况</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一、部门职责</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二、机构设置</w:t>
      </w:r>
    </w:p>
    <w:p>
      <w:pPr>
        <w:rPr>
          <w:rFonts w:ascii="方正仿宋简体" w:hAnsi="黑体" w:eastAsia="方正仿宋简体"/>
          <w:b/>
          <w:color w:val="000000" w:themeColor="text1"/>
          <w:kern w:val="0"/>
          <w:sz w:val="32"/>
          <w:szCs w:val="32"/>
          <w14:textFill>
            <w14:solidFill>
              <w14:schemeClr w14:val="tx1"/>
            </w14:solidFill>
          </w14:textFill>
        </w:rPr>
      </w:pPr>
      <w:r>
        <w:rPr>
          <w:rFonts w:hint="eastAsia" w:ascii="方正仿宋简体" w:hAnsi="黑体" w:eastAsia="方正仿宋简体"/>
          <w:b/>
          <w:color w:val="000000" w:themeColor="text1"/>
          <w:kern w:val="0"/>
          <w:sz w:val="32"/>
          <w:szCs w:val="32"/>
          <w14:textFill>
            <w14:solidFill>
              <w14:schemeClr w14:val="tx1"/>
            </w14:solidFill>
          </w14:textFill>
        </w:rPr>
        <w:t>第二部分 2021年度部门决算公开报表</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表一：GK01 收入支出决算总表(公开01表)</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表二：GK02 收入决算表(公开02表)</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表三：GK03 支出决算表(公开03表)</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表四：GK04 财政拨款收入支出决算总表(公开04表)</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表五：GK05 一般公共预算财政拨款支出决算表（一）(公开05表)</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表六：GK06 一般公共预算财政拨款支出决算表（二）(公开06表)</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表七：GK07 一般公共预算财政拨款“三公”经费支出决算表(公开07)</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表八：GK08 政府性基金预算财政拨款收入支出决算表(公开08表)</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表九：GK09 国有资本经营预算财政拨款支出决算表(公开09表)</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表十：GK10 部门决算公开相关信息统计表(公开10表)</w:t>
      </w:r>
    </w:p>
    <w:p>
      <w:pPr>
        <w:rPr>
          <w:rFonts w:ascii="方正仿宋简体" w:hAnsi="黑体" w:eastAsia="方正仿宋简体"/>
          <w:b/>
          <w:color w:val="000000" w:themeColor="text1"/>
          <w:kern w:val="0"/>
          <w:sz w:val="32"/>
          <w:szCs w:val="32"/>
          <w14:textFill>
            <w14:solidFill>
              <w14:schemeClr w14:val="tx1"/>
            </w14:solidFill>
          </w14:textFill>
        </w:rPr>
      </w:pPr>
      <w:r>
        <w:rPr>
          <w:rFonts w:hint="eastAsia" w:ascii="方正仿宋简体" w:hAnsi="黑体" w:eastAsia="方正仿宋简体"/>
          <w:b/>
          <w:color w:val="000000" w:themeColor="text1"/>
          <w:kern w:val="0"/>
          <w:sz w:val="32"/>
          <w:szCs w:val="32"/>
          <w14:textFill>
            <w14:solidFill>
              <w14:schemeClr w14:val="tx1"/>
            </w14:solidFill>
          </w14:textFill>
        </w:rPr>
        <w:t>第三部分 2021年度部门决算情况说明</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一、决算收入情况</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二、决算支出情况</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三、“三公”经费情况</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四、机关运行经费情况</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五、政府决算采购情况说明</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六、国有资产占有使用情况</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七、绩效情况说明</w:t>
      </w:r>
    </w:p>
    <w:p>
      <w:pPr>
        <w:rPr>
          <w:rFonts w:ascii="方正仿宋简体" w:hAnsi="黑体" w:eastAsia="方正仿宋简体"/>
          <w:b/>
          <w:color w:val="000000" w:themeColor="text1"/>
          <w:kern w:val="0"/>
          <w:sz w:val="32"/>
          <w:szCs w:val="32"/>
          <w14:textFill>
            <w14:solidFill>
              <w14:schemeClr w14:val="tx1"/>
            </w14:solidFill>
          </w14:textFill>
        </w:rPr>
      </w:pPr>
      <w:r>
        <w:rPr>
          <w:rFonts w:hint="eastAsia" w:ascii="方正仿宋简体" w:hAnsi="黑体" w:eastAsia="方正仿宋简体"/>
          <w:b/>
          <w:color w:val="000000" w:themeColor="text1"/>
          <w:kern w:val="0"/>
          <w:sz w:val="32"/>
          <w:szCs w:val="32"/>
          <w14:textFill>
            <w14:solidFill>
              <w14:schemeClr w14:val="tx1"/>
            </w14:solidFill>
          </w14:textFill>
        </w:rPr>
        <w:t>第四部分 部门名词解释</w:t>
      </w:r>
    </w:p>
    <w:p>
      <w:pPr>
        <w:rPr>
          <w:rFonts w:ascii="方正仿宋简体" w:hAnsi="黑体" w:eastAsia="方正仿宋简体"/>
          <w:b/>
          <w:color w:val="000000" w:themeColor="text1"/>
          <w:kern w:val="0"/>
          <w:sz w:val="32"/>
          <w:szCs w:val="32"/>
          <w14:textFill>
            <w14:solidFill>
              <w14:schemeClr w14:val="tx1"/>
            </w14:solidFill>
          </w14:textFill>
        </w:rPr>
      </w:pPr>
    </w:p>
    <w:p>
      <w:pPr>
        <w:rPr>
          <w:rFonts w:ascii="方正仿宋简体" w:hAnsi="黑体" w:eastAsia="方正仿宋简体"/>
          <w:b/>
          <w:color w:val="000000" w:themeColor="text1"/>
          <w:kern w:val="0"/>
          <w:sz w:val="32"/>
          <w:szCs w:val="32"/>
          <w14:textFill>
            <w14:solidFill>
              <w14:schemeClr w14:val="tx1"/>
            </w14:solidFill>
          </w14:textFill>
        </w:rPr>
      </w:pPr>
      <w:r>
        <w:rPr>
          <w:rFonts w:hint="eastAsia" w:ascii="方正仿宋简体" w:hAnsi="黑体" w:eastAsia="方正仿宋简体"/>
          <w:b/>
          <w:color w:val="000000" w:themeColor="text1"/>
          <w:kern w:val="0"/>
          <w:sz w:val="32"/>
          <w:szCs w:val="32"/>
          <w14:textFill>
            <w14:solidFill>
              <w14:schemeClr w14:val="tx1"/>
            </w14:solidFill>
          </w14:textFill>
        </w:rPr>
        <w:t>内容</w:t>
      </w:r>
    </w:p>
    <w:p>
      <w:pPr>
        <w:rPr>
          <w:rFonts w:ascii="方正仿宋简体" w:hAnsi="黑体" w:eastAsia="方正仿宋简体"/>
          <w:b/>
          <w:color w:val="000000" w:themeColor="text1"/>
          <w:kern w:val="0"/>
          <w:sz w:val="32"/>
          <w:szCs w:val="32"/>
          <w14:textFill>
            <w14:solidFill>
              <w14:schemeClr w14:val="tx1"/>
            </w14:solidFill>
          </w14:textFill>
        </w:rPr>
      </w:pPr>
      <w:r>
        <w:rPr>
          <w:rFonts w:hint="eastAsia" w:ascii="方正仿宋简体" w:hAnsi="黑体" w:eastAsia="方正仿宋简体"/>
          <w:b/>
          <w:color w:val="000000" w:themeColor="text1"/>
          <w:kern w:val="0"/>
          <w:sz w:val="32"/>
          <w:szCs w:val="32"/>
          <w14:textFill>
            <w14:solidFill>
              <w14:schemeClr w14:val="tx1"/>
            </w14:solidFill>
          </w14:textFill>
        </w:rPr>
        <w:t>第一部分：</w:t>
      </w:r>
      <w:r>
        <w:rPr>
          <w:rFonts w:hint="eastAsia" w:ascii="方正仿宋简体" w:hAnsi="黑体" w:eastAsia="方正仿宋简体"/>
          <w:b/>
          <w:color w:val="000000" w:themeColor="text1"/>
          <w:kern w:val="0"/>
          <w:sz w:val="32"/>
          <w:szCs w:val="32"/>
          <w:lang w:eastAsia="zh-CN"/>
          <w14:textFill>
            <w14:solidFill>
              <w14:schemeClr w14:val="tx1"/>
            </w14:solidFill>
          </w14:textFill>
        </w:rPr>
        <w:t>中国共产党</w:t>
      </w:r>
      <w:r>
        <w:rPr>
          <w:rFonts w:hint="eastAsia" w:ascii="方正仿宋简体" w:hAnsi="黑体" w:eastAsia="方正仿宋简体"/>
          <w:b/>
          <w:color w:val="000000" w:themeColor="text1"/>
          <w:kern w:val="0"/>
          <w:sz w:val="32"/>
          <w:szCs w:val="32"/>
          <w14:textFill>
            <w14:solidFill>
              <w14:schemeClr w14:val="tx1"/>
            </w14:solidFill>
          </w14:textFill>
        </w:rPr>
        <w:t>浑源县</w:t>
      </w:r>
      <w:r>
        <w:rPr>
          <w:rFonts w:hint="eastAsia" w:ascii="方正仿宋简体" w:hAnsi="黑体" w:eastAsia="方正仿宋简体"/>
          <w:b/>
          <w:color w:val="000000" w:themeColor="text1"/>
          <w:kern w:val="0"/>
          <w:sz w:val="32"/>
          <w:szCs w:val="32"/>
          <w:lang w:eastAsia="zh-CN"/>
          <w14:textFill>
            <w14:solidFill>
              <w14:schemeClr w14:val="tx1"/>
            </w14:solidFill>
          </w14:textFill>
        </w:rPr>
        <w:t>委员会</w:t>
      </w:r>
      <w:r>
        <w:rPr>
          <w:rFonts w:hint="eastAsia" w:ascii="方正仿宋简体" w:hAnsi="黑体" w:eastAsia="方正仿宋简体"/>
          <w:b/>
          <w:color w:val="000000" w:themeColor="text1"/>
          <w:kern w:val="0"/>
          <w:sz w:val="32"/>
          <w:szCs w:val="32"/>
          <w14:textFill>
            <w14:solidFill>
              <w14:schemeClr w14:val="tx1"/>
            </w14:solidFill>
          </w14:textFill>
        </w:rPr>
        <w:t>办公室概况</w:t>
      </w:r>
    </w:p>
    <w:p>
      <w:pPr>
        <w:spacing w:line="360" w:lineRule="auto"/>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 xml:space="preserve">    一、部门职责</w:t>
      </w:r>
    </w:p>
    <w:p>
      <w:pPr>
        <w:spacing w:line="360" w:lineRule="auto"/>
        <w:ind w:firstLine="640" w:firstLineChars="200"/>
        <w:rPr>
          <w:rFonts w:hint="eastAsia" w:ascii="方正仿宋简体" w:hAnsi="宋体" w:eastAsia="方正仿宋简体"/>
          <w:color w:val="000000"/>
          <w:sz w:val="32"/>
          <w:szCs w:val="32"/>
          <w:lang w:val="en-US" w:eastAsia="zh-CN"/>
        </w:rPr>
      </w:pPr>
      <w:r>
        <w:rPr>
          <w:rFonts w:hint="eastAsia" w:ascii="方正仿宋简体" w:hAnsi="宋体" w:eastAsia="方正仿宋简体"/>
          <w:color w:val="000000"/>
          <w:sz w:val="32"/>
          <w:szCs w:val="32"/>
          <w:lang w:val="en-US" w:eastAsia="zh-CN"/>
        </w:rPr>
        <w:t>（一）统筹规划全县党内法规工作，制定党内法规年度计划并组织实施。</w:t>
      </w:r>
    </w:p>
    <w:p>
      <w:pPr>
        <w:spacing w:line="360" w:lineRule="auto"/>
        <w:ind w:firstLine="640" w:firstLineChars="200"/>
        <w:rPr>
          <w:rFonts w:hint="eastAsia" w:ascii="方正仿宋简体" w:hAnsi="宋体" w:eastAsia="方正仿宋简体"/>
          <w:color w:val="000000"/>
          <w:sz w:val="32"/>
          <w:szCs w:val="32"/>
          <w:lang w:val="en-US" w:eastAsia="zh-CN"/>
        </w:rPr>
      </w:pPr>
      <w:r>
        <w:rPr>
          <w:rFonts w:hint="eastAsia" w:ascii="方正仿宋简体" w:hAnsi="宋体" w:eastAsia="方正仿宋简体"/>
          <w:color w:val="000000"/>
          <w:sz w:val="32"/>
          <w:szCs w:val="32"/>
          <w:lang w:val="en-US" w:eastAsia="zh-CN"/>
        </w:rPr>
        <w:t>（二）收集、整理、反馈全县重要信息和动态，指导和管理全县党委系统信息网络建设。负责全县党委系统的社情民意工作。</w:t>
      </w:r>
    </w:p>
    <w:p>
      <w:pPr>
        <w:spacing w:line="360" w:lineRule="auto"/>
        <w:ind w:firstLine="640" w:firstLineChars="200"/>
        <w:rPr>
          <w:rFonts w:hint="eastAsia" w:ascii="方正仿宋简体" w:hAnsi="宋体" w:eastAsia="方正仿宋简体"/>
          <w:color w:val="000000"/>
          <w:sz w:val="32"/>
          <w:szCs w:val="32"/>
          <w:lang w:val="en-US" w:eastAsia="zh-CN"/>
        </w:rPr>
      </w:pPr>
      <w:r>
        <w:rPr>
          <w:rFonts w:hint="eastAsia" w:ascii="方正仿宋简体" w:hAnsi="宋体" w:eastAsia="方正仿宋简体"/>
          <w:color w:val="000000"/>
          <w:sz w:val="32"/>
          <w:szCs w:val="32"/>
          <w:lang w:val="en-US" w:eastAsia="zh-CN"/>
        </w:rPr>
        <w:t>（三）围绕县委中心工作组织开展调查研究，为县委决策提供参考依据。</w:t>
      </w:r>
    </w:p>
    <w:p>
      <w:pPr>
        <w:spacing w:line="360" w:lineRule="auto"/>
        <w:ind w:firstLine="640" w:firstLineChars="200"/>
        <w:rPr>
          <w:rFonts w:hint="eastAsia" w:ascii="方正仿宋简体" w:hAnsi="宋体" w:eastAsia="方正仿宋简体"/>
          <w:color w:val="000000"/>
          <w:sz w:val="32"/>
          <w:szCs w:val="32"/>
          <w:lang w:val="en-US" w:eastAsia="zh-CN"/>
        </w:rPr>
      </w:pPr>
      <w:r>
        <w:rPr>
          <w:rFonts w:hint="eastAsia" w:ascii="方正仿宋简体" w:hAnsi="宋体" w:eastAsia="方正仿宋简体"/>
          <w:color w:val="000000"/>
          <w:sz w:val="32"/>
          <w:szCs w:val="32"/>
          <w:lang w:val="en-US" w:eastAsia="zh-CN"/>
        </w:rPr>
        <w:t>（四）向全县各级党委传达中央、省委、市委和县委的决策、指示、工作部署及县委主要领导讲话和批示，并督促检查贯彻落实情况。督促办理县政协委员对县委及县委各部门工作的提案。</w:t>
      </w:r>
    </w:p>
    <w:p>
      <w:pPr>
        <w:spacing w:line="360" w:lineRule="auto"/>
        <w:ind w:firstLine="640" w:firstLineChars="200"/>
        <w:rPr>
          <w:rFonts w:hint="eastAsia" w:ascii="方正仿宋简体" w:hAnsi="宋体" w:eastAsia="方正仿宋简体"/>
          <w:color w:val="000000"/>
          <w:sz w:val="32"/>
          <w:szCs w:val="32"/>
          <w:lang w:val="en-US" w:eastAsia="zh-CN"/>
        </w:rPr>
      </w:pPr>
      <w:r>
        <w:rPr>
          <w:rFonts w:hint="eastAsia" w:ascii="方正仿宋简体" w:hAnsi="宋体" w:eastAsia="方正仿宋简体"/>
          <w:color w:val="000000"/>
          <w:sz w:val="32"/>
          <w:szCs w:val="32"/>
          <w:lang w:val="en-US" w:eastAsia="zh-CN"/>
        </w:rPr>
        <w:t>（五）组织安排县委的各项会议和县委常委的各项公务活动，受理向县委的请示、报告。</w:t>
      </w:r>
    </w:p>
    <w:p>
      <w:pPr>
        <w:spacing w:line="360" w:lineRule="auto"/>
        <w:ind w:firstLine="640" w:firstLineChars="200"/>
        <w:rPr>
          <w:rFonts w:hint="eastAsia" w:ascii="方正仿宋简体" w:hAnsi="宋体" w:eastAsia="方正仿宋简体"/>
          <w:color w:val="000000"/>
          <w:sz w:val="32"/>
          <w:szCs w:val="32"/>
          <w:lang w:val="en-US" w:eastAsia="zh-CN"/>
        </w:rPr>
      </w:pPr>
      <w:r>
        <w:rPr>
          <w:rFonts w:hint="eastAsia" w:ascii="方正仿宋简体" w:hAnsi="宋体" w:eastAsia="方正仿宋简体"/>
          <w:color w:val="000000"/>
          <w:sz w:val="32"/>
          <w:szCs w:val="32"/>
          <w:lang w:val="en-US" w:eastAsia="zh-CN"/>
        </w:rPr>
        <w:t>（六）综合全县情况，协助县委和县委领导起草、修改文稿。</w:t>
      </w:r>
    </w:p>
    <w:p>
      <w:pPr>
        <w:spacing w:line="360" w:lineRule="auto"/>
        <w:ind w:firstLine="640" w:firstLineChars="200"/>
        <w:rPr>
          <w:rFonts w:hint="eastAsia" w:ascii="方正仿宋简体" w:hAnsi="宋体" w:eastAsia="方正仿宋简体"/>
          <w:color w:val="000000"/>
          <w:sz w:val="32"/>
          <w:szCs w:val="32"/>
          <w:lang w:val="en-US" w:eastAsia="zh-CN"/>
        </w:rPr>
      </w:pPr>
      <w:r>
        <w:rPr>
          <w:rFonts w:hint="eastAsia" w:ascii="方正仿宋简体" w:hAnsi="宋体" w:eastAsia="方正仿宋简体"/>
          <w:color w:val="000000"/>
          <w:sz w:val="32"/>
          <w:szCs w:val="32"/>
          <w:lang w:val="en-US" w:eastAsia="zh-CN"/>
        </w:rPr>
        <w:t>（七）负责县委日常文、电、函的审核、制发和处理。承担县委值班工作，负责处置各类突发公共事件。</w:t>
      </w:r>
    </w:p>
    <w:p>
      <w:pPr>
        <w:spacing w:line="360" w:lineRule="auto"/>
        <w:ind w:firstLine="640" w:firstLineChars="200"/>
        <w:rPr>
          <w:rFonts w:hint="eastAsia" w:ascii="方正仿宋简体" w:hAnsi="宋体" w:eastAsia="方正仿宋简体"/>
          <w:color w:val="000000"/>
          <w:sz w:val="32"/>
          <w:szCs w:val="32"/>
          <w:lang w:val="en-US" w:eastAsia="zh-CN"/>
        </w:rPr>
      </w:pPr>
      <w:r>
        <w:rPr>
          <w:rFonts w:hint="eastAsia" w:ascii="方正仿宋简体" w:hAnsi="宋体" w:eastAsia="方正仿宋简体"/>
          <w:color w:val="000000"/>
          <w:sz w:val="32"/>
          <w:szCs w:val="32"/>
          <w:lang w:val="en-US" w:eastAsia="zh-CN"/>
        </w:rPr>
        <w:t>（八）负责全县档案行政管理工作。</w:t>
      </w:r>
    </w:p>
    <w:p>
      <w:pPr>
        <w:spacing w:line="360" w:lineRule="auto"/>
        <w:ind w:firstLine="640" w:firstLineChars="200"/>
        <w:rPr>
          <w:rFonts w:hint="eastAsia" w:ascii="方正仿宋简体" w:hAnsi="宋体" w:eastAsia="方正仿宋简体"/>
          <w:color w:val="000000"/>
          <w:sz w:val="32"/>
          <w:szCs w:val="32"/>
          <w:lang w:val="en-US" w:eastAsia="zh-CN"/>
        </w:rPr>
      </w:pPr>
      <w:r>
        <w:rPr>
          <w:rFonts w:hint="eastAsia" w:ascii="方正仿宋简体" w:hAnsi="宋体" w:eastAsia="方正仿宋简体"/>
          <w:color w:val="000000"/>
          <w:sz w:val="32"/>
          <w:szCs w:val="32"/>
          <w:lang w:val="en-US" w:eastAsia="zh-CN"/>
        </w:rPr>
        <w:t>（九）负责全县机要通信和密码管理,担负党和国家首脑机关及要害部门与我县党政军机关机密要件的传递任务。</w:t>
      </w:r>
    </w:p>
    <w:p>
      <w:pPr>
        <w:spacing w:line="360" w:lineRule="auto"/>
        <w:ind w:firstLine="640" w:firstLineChars="200"/>
        <w:rPr>
          <w:rFonts w:hint="eastAsia" w:ascii="方正仿宋简体" w:hAnsi="宋体" w:eastAsia="方正仿宋简体"/>
          <w:color w:val="000000"/>
          <w:sz w:val="32"/>
          <w:szCs w:val="32"/>
          <w:lang w:val="en-US" w:eastAsia="zh-CN"/>
        </w:rPr>
      </w:pPr>
      <w:r>
        <w:rPr>
          <w:rFonts w:hint="eastAsia" w:ascii="方正仿宋简体" w:hAnsi="宋体" w:eastAsia="方正仿宋简体"/>
          <w:color w:val="000000"/>
          <w:sz w:val="32"/>
          <w:szCs w:val="32"/>
          <w:lang w:val="en-US" w:eastAsia="zh-CN"/>
        </w:rPr>
        <w:t>（十）负责县委保密委员会日常工作事务，依法管理全县保密工作。</w:t>
      </w:r>
    </w:p>
    <w:p>
      <w:pPr>
        <w:spacing w:line="360" w:lineRule="auto"/>
        <w:ind w:firstLine="640" w:firstLineChars="200"/>
        <w:rPr>
          <w:rFonts w:hint="eastAsia" w:ascii="方正仿宋简体" w:hAnsi="宋体" w:eastAsia="方正仿宋简体"/>
          <w:color w:val="000000"/>
          <w:sz w:val="32"/>
          <w:szCs w:val="32"/>
          <w:lang w:val="en-US" w:eastAsia="zh-CN"/>
        </w:rPr>
      </w:pPr>
      <w:r>
        <w:rPr>
          <w:rFonts w:hint="eastAsia" w:ascii="方正仿宋简体" w:hAnsi="宋体" w:eastAsia="方正仿宋简体"/>
          <w:color w:val="000000"/>
          <w:sz w:val="32"/>
          <w:szCs w:val="32"/>
          <w:lang w:val="en-US" w:eastAsia="zh-CN"/>
        </w:rPr>
        <w:t>（十一）承担全县公共机构节能推进、指导、协调、监督、检查的具体工作，会同有关部门制订规划、规章制度并组织实施。</w:t>
      </w:r>
    </w:p>
    <w:p>
      <w:pPr>
        <w:spacing w:line="360" w:lineRule="auto"/>
        <w:ind w:firstLine="640" w:firstLineChars="200"/>
        <w:rPr>
          <w:rFonts w:hint="eastAsia" w:ascii="方正仿宋简体" w:hAnsi="宋体" w:eastAsia="方正仿宋简体"/>
          <w:color w:val="000000"/>
          <w:sz w:val="32"/>
          <w:szCs w:val="32"/>
          <w:lang w:val="en-US" w:eastAsia="zh-CN"/>
        </w:rPr>
      </w:pPr>
      <w:r>
        <w:rPr>
          <w:rFonts w:hint="eastAsia" w:ascii="方正仿宋简体" w:hAnsi="宋体" w:eastAsia="方正仿宋简体"/>
          <w:color w:val="000000"/>
          <w:sz w:val="32"/>
          <w:szCs w:val="32"/>
          <w:lang w:val="en-US" w:eastAsia="zh-CN"/>
        </w:rPr>
        <w:t>（十二）完成县委交办的其他任务。</w:t>
      </w:r>
    </w:p>
    <w:p>
      <w:pPr>
        <w:spacing w:line="360" w:lineRule="auto"/>
        <w:ind w:firstLine="640" w:firstLineChars="200"/>
        <w:rPr>
          <w:rFonts w:hint="eastAsia" w:ascii="方正仿宋简体" w:hAnsi="宋体" w:eastAsia="方正仿宋简体"/>
          <w:color w:val="000000"/>
          <w:sz w:val="32"/>
          <w:szCs w:val="32"/>
        </w:rPr>
      </w:pPr>
      <w:r>
        <w:rPr>
          <w:rFonts w:hint="eastAsia" w:ascii="方正仿宋简体" w:hAnsi="宋体" w:eastAsia="方正仿宋简体"/>
          <w:color w:val="000000"/>
          <w:sz w:val="32"/>
          <w:szCs w:val="32"/>
          <w:lang w:val="en-US" w:eastAsia="zh-CN"/>
        </w:rPr>
        <w:t>（十三）与有关部门节能降耗职责的分工。县委办公室具体负责公共机构节能工作。县发展和改革局负责全县节能减排综合协调工作。县能源局负责全县节能降耗工作。市生态环境局浑源分局负责全县污染减排工作。县发展和改革局具体负责第一产业、第三产业（不含房地产业）节能工作。县工业和信息化局具体负责工业和信息化领域节能工作。县住房和城乡建设管理局具体负责建筑节能工作和城镇生活减排有关工作。县交通运输局具体负责交通运输节能工作。</w:t>
      </w:r>
    </w:p>
    <w:p>
      <w:pPr>
        <w:spacing w:line="360" w:lineRule="auto"/>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二、机构设置</w:t>
      </w:r>
    </w:p>
    <w:p>
      <w:pPr>
        <w:ind w:firstLine="640" w:firstLineChars="200"/>
        <w:rPr>
          <w:rFonts w:hint="eastAsia" w:ascii="方正仿宋简体" w:hAnsi="宋体" w:eastAsia="方正仿宋简体"/>
          <w:color w:val="000000" w:themeColor="text1"/>
          <w:kern w:val="0"/>
          <w:sz w:val="32"/>
          <w:szCs w:val="32"/>
          <w:lang w:val="en-US" w:eastAsia="zh-CN"/>
          <w14:textFill>
            <w14:solidFill>
              <w14:schemeClr w14:val="tx1"/>
            </w14:solidFill>
          </w14:textFill>
        </w:rPr>
      </w:pPr>
      <w:r>
        <w:rPr>
          <w:rFonts w:hint="eastAsia" w:ascii="方正仿宋简体" w:hAnsi="宋体" w:eastAsia="方正仿宋简体"/>
          <w:color w:val="000000" w:themeColor="text1"/>
          <w:kern w:val="0"/>
          <w:sz w:val="32"/>
          <w:szCs w:val="32"/>
          <w:lang w:val="en-US" w:eastAsia="zh-CN"/>
          <w14:textFill>
            <w14:solidFill>
              <w14:schemeClr w14:val="tx1"/>
            </w14:solidFill>
          </w14:textFill>
        </w:rPr>
        <w:t>（一）综合股（县委改革办、县综改办）。负责联系各单位各部门工作，开展调查研究，提供决策服务，负责县委常委会主持词，县委主要领导调研、参加公务活动有关文稿的起草，负责县委重要文稿和有关重要文件、报告的起草。负责会议记录归档工作，起草、印发会议纪要。负责县委、县委办公室公文的审核、制发，文件的前置审核工作。向上级单位提供有关工作情况。编发《县委常委会会议纪要》《大事记》。</w:t>
      </w:r>
    </w:p>
    <w:p>
      <w:pPr>
        <w:ind w:firstLine="640" w:firstLineChars="200"/>
        <w:rPr>
          <w:rFonts w:hint="eastAsia" w:ascii="方正仿宋简体" w:hAnsi="宋体" w:eastAsia="方正仿宋简体"/>
          <w:color w:val="000000" w:themeColor="text1"/>
          <w:kern w:val="0"/>
          <w:sz w:val="32"/>
          <w:szCs w:val="32"/>
          <w:lang w:val="en-US" w:eastAsia="zh-CN"/>
          <w14:textFill>
            <w14:solidFill>
              <w14:schemeClr w14:val="tx1"/>
            </w14:solidFill>
          </w14:textFill>
        </w:rPr>
      </w:pPr>
      <w:r>
        <w:rPr>
          <w:rFonts w:hint="eastAsia" w:ascii="方正仿宋简体" w:hAnsi="宋体" w:eastAsia="方正仿宋简体"/>
          <w:color w:val="000000" w:themeColor="text1"/>
          <w:kern w:val="0"/>
          <w:sz w:val="32"/>
          <w:szCs w:val="32"/>
          <w:lang w:val="en-US" w:eastAsia="zh-CN"/>
          <w14:textFill>
            <w14:solidFill>
              <w14:schemeClr w14:val="tx1"/>
            </w14:solidFill>
          </w14:textFill>
        </w:rPr>
        <w:t>（二）会务股。负责县委办机关日常事务。承办县委全委会议、县委常委会议、县委常委民主生活会、县委中心组学习会议和其他交办会议的会务工作。对承办会议议题进行审核把关和调研论证，对议定事项落实情况进行收集汇总。承办县委书记调研活动的安排服务，组织安排县委常委和四套班子集体参加的各项公务活动，承办县委重要会议和活动的日程安排。组织安排来浑视察的领导同志的公务活动，承办各部门邀请领导出席会议和参加活动的审批手续。</w:t>
      </w:r>
    </w:p>
    <w:p>
      <w:pPr>
        <w:ind w:firstLine="640" w:firstLineChars="200"/>
        <w:rPr>
          <w:rFonts w:hint="eastAsia" w:ascii="方正仿宋简体" w:hAnsi="宋体" w:eastAsia="方正仿宋简体"/>
          <w:color w:val="000000" w:themeColor="text1"/>
          <w:kern w:val="0"/>
          <w:sz w:val="32"/>
          <w:szCs w:val="32"/>
          <w:lang w:val="en-US" w:eastAsia="zh-CN"/>
          <w14:textFill>
            <w14:solidFill>
              <w14:schemeClr w14:val="tx1"/>
            </w14:solidFill>
          </w14:textFill>
        </w:rPr>
      </w:pPr>
      <w:r>
        <w:rPr>
          <w:rFonts w:hint="eastAsia" w:ascii="方正仿宋简体" w:hAnsi="宋体" w:eastAsia="方正仿宋简体"/>
          <w:color w:val="000000" w:themeColor="text1"/>
          <w:kern w:val="0"/>
          <w:sz w:val="32"/>
          <w:szCs w:val="32"/>
          <w:lang w:val="en-US" w:eastAsia="zh-CN"/>
          <w14:textFill>
            <w14:solidFill>
              <w14:schemeClr w14:val="tx1"/>
            </w14:solidFill>
          </w14:textFill>
        </w:rPr>
        <w:t>（三）信息综合股（社情民意办公室）。负责全县重要信息的收集、处理、编发、报送及县领导对信息批示的落实反馈。负责全县党委系统信息网络的建设和管理，对全县党委系统信息工作进行业务指导。负责办理群众通过人民网“地方领导留言版”给省、市、县主要领导的留言，通过省委社情民意网上通道“我对领导有话说”栏目给省委、市委主要负责同志的留言，通过书记热线给县委主要负责同志的留言。负责涉及本地本部门网民留言办理的具体组织和承办工作。</w:t>
      </w:r>
    </w:p>
    <w:p>
      <w:pPr>
        <w:ind w:firstLine="640" w:firstLineChars="200"/>
        <w:rPr>
          <w:rFonts w:hint="eastAsia" w:ascii="方正仿宋简体" w:hAnsi="宋体" w:eastAsia="方正仿宋简体"/>
          <w:color w:val="000000" w:themeColor="text1"/>
          <w:kern w:val="0"/>
          <w:sz w:val="32"/>
          <w:szCs w:val="32"/>
          <w:lang w:val="en-US" w:eastAsia="zh-CN"/>
          <w14:textFill>
            <w14:solidFill>
              <w14:schemeClr w14:val="tx1"/>
            </w14:solidFill>
          </w14:textFill>
        </w:rPr>
      </w:pPr>
      <w:r>
        <w:rPr>
          <w:rFonts w:hint="eastAsia" w:ascii="方正仿宋简体" w:hAnsi="宋体" w:eastAsia="方正仿宋简体"/>
          <w:color w:val="000000" w:themeColor="text1"/>
          <w:kern w:val="0"/>
          <w:sz w:val="32"/>
          <w:szCs w:val="32"/>
          <w:lang w:val="en-US" w:eastAsia="zh-CN"/>
          <w14:textFill>
            <w14:solidFill>
              <w14:schemeClr w14:val="tx1"/>
            </w14:solidFill>
          </w14:textFill>
        </w:rPr>
        <w:t>（四）督促检查股。负责推动党的全国代表大会、省市县党代会，以及中央、省委、市委和县委重要会议决策部署的贯彻落实，党内法规和中央、省委、市委、县委重要文件的贯彻执行。督促中央、省委、市委和县委部署的重大专题活动和工作任务的推进落实。负责综合协调、制度建设、内务管理等日常督查工作。督促推动中央、省委、市委和县委领导同志重要讲话和指示批示精神的贯彻落实，县委领导同志交办事项的办理落实。督办政协提案。完成领导交办的其他事项。</w:t>
      </w:r>
    </w:p>
    <w:p>
      <w:pPr>
        <w:ind w:firstLine="640" w:firstLineChars="200"/>
        <w:rPr>
          <w:rFonts w:hint="eastAsia" w:ascii="方正仿宋简体" w:hAnsi="宋体" w:eastAsia="方正仿宋简体"/>
          <w:color w:val="000000" w:themeColor="text1"/>
          <w:kern w:val="0"/>
          <w:sz w:val="32"/>
          <w:szCs w:val="32"/>
          <w:lang w:val="en-US" w:eastAsia="zh-CN"/>
          <w14:textFill>
            <w14:solidFill>
              <w14:schemeClr w14:val="tx1"/>
            </w14:solidFill>
          </w14:textFill>
        </w:rPr>
      </w:pPr>
      <w:r>
        <w:rPr>
          <w:rFonts w:hint="eastAsia" w:ascii="方正仿宋简体" w:hAnsi="宋体" w:eastAsia="方正仿宋简体"/>
          <w:color w:val="000000" w:themeColor="text1"/>
          <w:kern w:val="0"/>
          <w:sz w:val="32"/>
          <w:szCs w:val="32"/>
          <w:lang w:val="en-US" w:eastAsia="zh-CN"/>
          <w14:textFill>
            <w14:solidFill>
              <w14:schemeClr w14:val="tx1"/>
            </w14:solidFill>
          </w14:textFill>
        </w:rPr>
        <w:t>（五）法规股。承担统筹规划我县党内法规工作，制定党内法规年度计划并组织实施。承担组织协调党内规范性文件的起草、审核、解释和评估工作。承办县委领导地方立法的具体服务工作。负责对各乡（镇）党委和县委各部门制定的规范性文件的备案审查工作。负责定期清理、汇编县委制定的党内规范性文件。</w:t>
      </w:r>
    </w:p>
    <w:p>
      <w:pPr>
        <w:ind w:firstLine="640" w:firstLineChars="200"/>
        <w:rPr>
          <w:rFonts w:hint="eastAsia"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lang w:val="en-US" w:eastAsia="zh-CN"/>
          <w14:textFill>
            <w14:solidFill>
              <w14:schemeClr w14:val="tx1"/>
            </w14:solidFill>
          </w14:textFill>
        </w:rPr>
        <w:t>（六）县国家密码管理局办公室。负责县密码工作领导小组日常工作。负责全县党政系统密码和全县商用密码的管理。负责全县机要通信工作。负责全县密码通信网的规划、建设和管理。负责全县涉密通信网络加密系统的审批和管理。负责全县密码新技术的开发和技术服务等工作。负责县委保密委员会的日常工作。依法进行保密行政管理。发展应用保密技术、保密防范技术。负责县委办公室保密检查和保密教育工作。</w:t>
      </w:r>
    </w:p>
    <w:p>
      <w:pPr>
        <w:rPr>
          <w:rFonts w:ascii="方正仿宋简体" w:hAnsi="黑体" w:eastAsia="方正仿宋简体"/>
          <w:b/>
          <w:color w:val="000000" w:themeColor="text1"/>
          <w:kern w:val="0"/>
          <w:sz w:val="32"/>
          <w:szCs w:val="32"/>
          <w14:textFill>
            <w14:solidFill>
              <w14:schemeClr w14:val="tx1"/>
            </w14:solidFill>
          </w14:textFill>
        </w:rPr>
      </w:pPr>
      <w:r>
        <w:rPr>
          <w:rFonts w:hint="eastAsia" w:ascii="方正仿宋简体" w:hAnsi="黑体" w:eastAsia="方正仿宋简体"/>
          <w:b/>
          <w:color w:val="000000" w:themeColor="text1"/>
          <w:kern w:val="0"/>
          <w:sz w:val="32"/>
          <w:szCs w:val="32"/>
          <w14:textFill>
            <w14:solidFill>
              <w14:schemeClr w14:val="tx1"/>
            </w14:solidFill>
          </w14:textFill>
        </w:rPr>
        <w:t>第二部分：2021年度部门决算公开报表</w:t>
      </w:r>
    </w:p>
    <w:p>
      <w:pPr>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附件：</w:t>
      </w:r>
      <w:r>
        <w:rPr>
          <w:rFonts w:hint="eastAsia" w:ascii="方正仿宋简体" w:hAnsi="宋体" w:eastAsia="方正仿宋简体"/>
          <w:color w:val="000000" w:themeColor="text1"/>
          <w:kern w:val="0"/>
          <w:sz w:val="32"/>
          <w:szCs w:val="32"/>
          <w:lang w:eastAsia="zh-CN"/>
          <w14:textFill>
            <w14:solidFill>
              <w14:schemeClr w14:val="tx1"/>
            </w14:solidFill>
          </w14:textFill>
        </w:rPr>
        <w:t>中国共产党浑源县委员会</w:t>
      </w:r>
      <w:r>
        <w:rPr>
          <w:rFonts w:hint="eastAsia" w:ascii="方正仿宋简体" w:hAnsi="宋体" w:eastAsia="方正仿宋简体"/>
          <w:color w:val="000000" w:themeColor="text1"/>
          <w:kern w:val="0"/>
          <w:sz w:val="32"/>
          <w:szCs w:val="32"/>
          <w14:textFill>
            <w14:solidFill>
              <w14:schemeClr w14:val="tx1"/>
            </w14:solidFill>
          </w14:textFill>
        </w:rPr>
        <w:t>办公室-2021年度部门决算公开报表.xls</w:t>
      </w:r>
    </w:p>
    <w:p>
      <w:pPr>
        <w:rPr>
          <w:rFonts w:ascii="方正仿宋简体" w:hAnsi="黑体" w:eastAsia="方正仿宋简体"/>
          <w:b/>
          <w:color w:val="000000" w:themeColor="text1"/>
          <w:kern w:val="0"/>
          <w:sz w:val="32"/>
          <w:szCs w:val="32"/>
          <w14:textFill>
            <w14:solidFill>
              <w14:schemeClr w14:val="tx1"/>
            </w14:solidFill>
          </w14:textFill>
        </w:rPr>
      </w:pPr>
      <w:r>
        <w:rPr>
          <w:rFonts w:hint="eastAsia" w:ascii="方正仿宋简体" w:hAnsi="黑体" w:eastAsia="方正仿宋简体"/>
          <w:b/>
          <w:color w:val="000000" w:themeColor="text1"/>
          <w:kern w:val="0"/>
          <w:sz w:val="32"/>
          <w:szCs w:val="32"/>
          <w14:textFill>
            <w14:solidFill>
              <w14:schemeClr w14:val="tx1"/>
            </w14:solidFill>
          </w14:textFill>
        </w:rPr>
        <w:t>第三部分：2021年度部门决算情况说明</w:t>
      </w:r>
    </w:p>
    <w:p>
      <w:pPr>
        <w:ind w:left="424"/>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一、决算收入情况</w:t>
      </w:r>
    </w:p>
    <w:p>
      <w:pPr>
        <w:ind w:firstLine="640" w:firstLineChars="200"/>
        <w:rPr>
          <w:rFonts w:hint="eastAsia"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本单位本年度总收入为794.17万元，上年度总收入为2276.39万元，增减-65.11 %。其中：一般公共预算财政拨款本年度收入为794.17万元，上年度收入为2276.38万元，增减-65.11 %；政府性基金预算财政拨款本年度收入为0万元，上年度收入为0万元，增减0 %；事业收入本年度收入为0万元，上年度收入为0万元，增减0 %；其他收入本年度收入为0万元，上年度收入为0.01万元，增减-100%。</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二、决算支出情况</w:t>
      </w:r>
    </w:p>
    <w:p>
      <w:pPr>
        <w:ind w:firstLine="640" w:firstLineChars="200"/>
        <w:rPr>
          <w:rFonts w:hint="eastAsia"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本单位本年度总支出为794.17万元，上年度总支出为2276.38万元，增减-65.11%。其中：基本支出本年度支出为419.42万元，上年度支出为1493.88万元，增减-71.92 %；项目支出本年度支出为374.75万元，上年度支出为782.5万元，增减-52.11 %。</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三、“三公”经费情况</w:t>
      </w:r>
    </w:p>
    <w:p>
      <w:pPr>
        <w:ind w:firstLine="640" w:firstLineChars="200"/>
        <w:rPr>
          <w:rFonts w:hint="eastAsia"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本单位本年度“三公”经费总支出为8.79万元，上年度支出为465.95万元，增减-98.11 %；其中：因公出国（境）费本年度支出0万元，上年度支出为0万元，增减0 %；公务用车购置及运行维护费支出为8.79万元，上年度支出为146.02万元，增减-93.98 %；公务接待费支出为0万元，上年度支出为319.93万元，增减-100 %。</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四、机关运行经费情况</w:t>
      </w:r>
    </w:p>
    <w:p>
      <w:pPr>
        <w:ind w:firstLine="640" w:firstLineChars="200"/>
        <w:rPr>
          <w:rFonts w:hint="eastAsia"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本单位本年度机关运行经费总支出为89.26万元，上年度支出为658.52万元，增减-86.45 %；主要为日常办公费、水电、差旅、印刷、委托业务费等费用。</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五、政府决算采购情况说明</w:t>
      </w:r>
    </w:p>
    <w:p>
      <w:pPr>
        <w:ind w:firstLine="640" w:firstLineChars="200"/>
        <w:rPr>
          <w:rFonts w:hint="eastAsia"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本单位本年度政府采购总价为19.86万元，其中：货物采购19.86万元，工程采购0万元，服务采购0万元。</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六、国有资产占有使用情况</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（1）房屋情况</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截止2021年12月31日，我单位产权房屋面积为</w:t>
      </w:r>
      <w:r>
        <w:rPr>
          <w:rFonts w:hint="eastAsia" w:ascii="方正仿宋简体" w:hAnsi="宋体" w:eastAsia="方正仿宋简体"/>
          <w:color w:val="000000" w:themeColor="text1"/>
          <w:kern w:val="0"/>
          <w:sz w:val="32"/>
          <w:szCs w:val="32"/>
          <w:lang w:val="en-US" w:eastAsia="zh-CN"/>
          <w14:textFill>
            <w14:solidFill>
              <w14:schemeClr w14:val="tx1"/>
            </w14:solidFill>
          </w14:textFill>
        </w:rPr>
        <w:t>600</w:t>
      </w:r>
      <w:r>
        <w:rPr>
          <w:rFonts w:hint="eastAsia" w:ascii="方正仿宋简体" w:hAnsi="宋体" w:eastAsia="方正仿宋简体"/>
          <w:color w:val="000000" w:themeColor="text1"/>
          <w:kern w:val="0"/>
          <w:sz w:val="32"/>
          <w:szCs w:val="32"/>
          <w14:textFill>
            <w14:solidFill>
              <w14:schemeClr w14:val="tx1"/>
            </w14:solidFill>
          </w14:textFill>
        </w:rPr>
        <w:t>0平方米，价值</w:t>
      </w:r>
      <w:r>
        <w:rPr>
          <w:rFonts w:hint="eastAsia" w:ascii="方正仿宋简体" w:hAnsi="宋体" w:eastAsia="方正仿宋简体"/>
          <w:color w:val="000000" w:themeColor="text1"/>
          <w:kern w:val="0"/>
          <w:sz w:val="32"/>
          <w:szCs w:val="32"/>
          <w:lang w:val="en-US" w:eastAsia="zh-CN"/>
          <w14:textFill>
            <w14:solidFill>
              <w14:schemeClr w14:val="tx1"/>
            </w14:solidFill>
          </w14:textFill>
        </w:rPr>
        <w:t>10</w:t>
      </w:r>
      <w:r>
        <w:rPr>
          <w:rFonts w:hint="eastAsia" w:ascii="方正仿宋简体" w:hAnsi="宋体" w:eastAsia="方正仿宋简体"/>
          <w:color w:val="000000" w:themeColor="text1"/>
          <w:kern w:val="0"/>
          <w:sz w:val="32"/>
          <w:szCs w:val="32"/>
          <w14:textFill>
            <w14:solidFill>
              <w14:schemeClr w14:val="tx1"/>
            </w14:solidFill>
          </w14:textFill>
        </w:rPr>
        <w:t>0万元。</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（2）车辆情况</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 xml:space="preserve"> 单位账面车辆为1</w:t>
      </w:r>
      <w:r>
        <w:rPr>
          <w:rFonts w:hint="eastAsia" w:ascii="方正仿宋简体" w:hAnsi="宋体" w:eastAsia="方正仿宋简体"/>
          <w:color w:val="000000" w:themeColor="text1"/>
          <w:kern w:val="0"/>
          <w:sz w:val="32"/>
          <w:szCs w:val="32"/>
          <w:lang w:val="en-US" w:eastAsia="zh-CN"/>
          <w14:textFill>
            <w14:solidFill>
              <w14:schemeClr w14:val="tx1"/>
            </w14:solidFill>
          </w14:textFill>
        </w:rPr>
        <w:t>1</w:t>
      </w:r>
      <w:r>
        <w:rPr>
          <w:rFonts w:hint="eastAsia" w:ascii="方正仿宋简体" w:hAnsi="宋体" w:eastAsia="方正仿宋简体"/>
          <w:color w:val="000000" w:themeColor="text1"/>
          <w:kern w:val="0"/>
          <w:sz w:val="32"/>
          <w:szCs w:val="32"/>
          <w14:textFill>
            <w14:solidFill>
              <w14:schemeClr w14:val="tx1"/>
            </w14:solidFill>
          </w14:textFill>
        </w:rPr>
        <w:t>辆，价值</w:t>
      </w:r>
      <w:r>
        <w:rPr>
          <w:rFonts w:hint="eastAsia" w:ascii="方正仿宋简体" w:hAnsi="宋体" w:eastAsia="方正仿宋简体"/>
          <w:color w:val="000000" w:themeColor="text1"/>
          <w:kern w:val="0"/>
          <w:sz w:val="32"/>
          <w:szCs w:val="32"/>
          <w:lang w:val="en-US" w:eastAsia="zh-CN"/>
          <w14:textFill>
            <w14:solidFill>
              <w14:schemeClr w14:val="tx1"/>
            </w14:solidFill>
          </w14:textFill>
        </w:rPr>
        <w:t>43</w:t>
      </w:r>
      <w:r>
        <w:rPr>
          <w:rFonts w:hint="eastAsia" w:ascii="方正仿宋简体" w:hAnsi="宋体" w:eastAsia="方正仿宋简体"/>
          <w:color w:val="000000" w:themeColor="text1"/>
          <w:kern w:val="0"/>
          <w:sz w:val="32"/>
          <w:szCs w:val="32"/>
          <w14:textFill>
            <w14:solidFill>
              <w14:schemeClr w14:val="tx1"/>
            </w14:solidFill>
          </w14:textFill>
        </w:rPr>
        <w:t>.</w:t>
      </w:r>
      <w:r>
        <w:rPr>
          <w:rFonts w:hint="eastAsia" w:ascii="方正仿宋简体" w:hAnsi="宋体" w:eastAsia="方正仿宋简体"/>
          <w:color w:val="000000" w:themeColor="text1"/>
          <w:kern w:val="0"/>
          <w:sz w:val="32"/>
          <w:szCs w:val="32"/>
          <w:lang w:val="en-US" w:eastAsia="zh-CN"/>
          <w14:textFill>
            <w14:solidFill>
              <w14:schemeClr w14:val="tx1"/>
            </w14:solidFill>
          </w14:textFill>
        </w:rPr>
        <w:t>15</w:t>
      </w:r>
      <w:r>
        <w:rPr>
          <w:rFonts w:hint="eastAsia" w:ascii="方正仿宋简体" w:hAnsi="宋体" w:eastAsia="方正仿宋简体"/>
          <w:color w:val="000000" w:themeColor="text1"/>
          <w:kern w:val="0"/>
          <w:sz w:val="32"/>
          <w:szCs w:val="32"/>
          <w14:textFill>
            <w14:solidFill>
              <w14:schemeClr w14:val="tx1"/>
            </w14:solidFill>
          </w14:textFill>
        </w:rPr>
        <w:t>万元。</w:t>
      </w:r>
    </w:p>
    <w:p>
      <w:pPr>
        <w:pStyle w:val="5"/>
        <w:numPr>
          <w:ilvl w:val="0"/>
          <w:numId w:val="1"/>
        </w:numPr>
        <w:ind w:firstLineChars="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绩效情况说明</w:t>
      </w:r>
    </w:p>
    <w:p>
      <w:pPr>
        <w:pStyle w:val="5"/>
        <w:ind w:left="359" w:leftChars="171" w:firstLine="320" w:firstLineChars="1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2021年度，本单位实行绩效目标管理的项目7个。</w:t>
      </w:r>
    </w:p>
    <w:p>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一、预算绩效管理工作开展情况</w:t>
      </w:r>
    </w:p>
    <w:p>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根据预算绩效管理要求，我部门组织对2021年度县级财政预算安排的专项资金类7个项目支出全面开展</w:t>
      </w:r>
      <w:r>
        <w:rPr>
          <w:rFonts w:hint="eastAsia" w:ascii="方正仿宋简体" w:hAnsi="仿宋" w:eastAsia="方正仿宋简体" w:cs="仿宋"/>
          <w:bCs/>
          <w:sz w:val="32"/>
          <w:szCs w:val="32"/>
        </w:rPr>
        <w:t>绩效自评</w:t>
      </w:r>
      <w:r>
        <w:rPr>
          <w:rFonts w:hint="eastAsia" w:ascii="方正仿宋简体" w:hAnsi="仿宋" w:eastAsia="方正仿宋简体" w:cs="仿宋"/>
          <w:sz w:val="32"/>
          <w:szCs w:val="32"/>
        </w:rPr>
        <w:t>，涉及预算资金</w:t>
      </w:r>
      <w:r>
        <w:rPr>
          <w:rFonts w:hint="eastAsia" w:ascii="方正仿宋简体" w:hAnsi="仿宋" w:eastAsia="方正仿宋简体" w:cs="仿宋"/>
          <w:sz w:val="32"/>
          <w:szCs w:val="32"/>
          <w:lang w:val="en-US" w:eastAsia="zh-CN"/>
        </w:rPr>
        <w:t>374</w:t>
      </w:r>
      <w:r>
        <w:rPr>
          <w:rFonts w:hint="eastAsia" w:ascii="方正仿宋简体" w:hAnsi="仿宋" w:eastAsia="方正仿宋简体" w:cs="仿宋"/>
          <w:sz w:val="32"/>
          <w:szCs w:val="32"/>
        </w:rPr>
        <w:t>.</w:t>
      </w:r>
      <w:r>
        <w:rPr>
          <w:rFonts w:hint="eastAsia" w:ascii="方正仿宋简体" w:hAnsi="仿宋" w:eastAsia="方正仿宋简体" w:cs="仿宋"/>
          <w:sz w:val="32"/>
          <w:szCs w:val="32"/>
          <w:lang w:val="en-US" w:eastAsia="zh-CN"/>
        </w:rPr>
        <w:t>75</w:t>
      </w:r>
      <w:r>
        <w:rPr>
          <w:rFonts w:hint="eastAsia" w:ascii="方正仿宋简体" w:hAnsi="仿宋" w:eastAsia="方正仿宋简体" w:cs="仿宋"/>
          <w:sz w:val="32"/>
          <w:szCs w:val="32"/>
        </w:rPr>
        <w:t>万元，占一般公共预算项目支出总额</w:t>
      </w:r>
      <w:r>
        <w:rPr>
          <w:rFonts w:hint="eastAsia" w:ascii="方正仿宋简体" w:hAnsi="仿宋" w:eastAsia="方正仿宋简体" w:cs="仿宋"/>
          <w:sz w:val="32"/>
          <w:szCs w:val="32"/>
          <w:lang w:val="en-US" w:eastAsia="zh-CN"/>
        </w:rPr>
        <w:t>794</w:t>
      </w:r>
      <w:r>
        <w:rPr>
          <w:rFonts w:hint="eastAsia" w:ascii="方正仿宋简体" w:hAnsi="仿宋" w:eastAsia="方正仿宋简体" w:cs="仿宋"/>
          <w:sz w:val="32"/>
          <w:szCs w:val="32"/>
        </w:rPr>
        <w:t>.</w:t>
      </w:r>
      <w:r>
        <w:rPr>
          <w:rFonts w:hint="eastAsia" w:ascii="方正仿宋简体" w:hAnsi="仿宋" w:eastAsia="方正仿宋简体" w:cs="仿宋"/>
          <w:sz w:val="32"/>
          <w:szCs w:val="32"/>
          <w:lang w:val="en-US" w:eastAsia="zh-CN"/>
        </w:rPr>
        <w:t>1</w:t>
      </w:r>
      <w:r>
        <w:rPr>
          <w:rFonts w:hint="eastAsia" w:ascii="方正仿宋简体" w:hAnsi="仿宋" w:eastAsia="方正仿宋简体" w:cs="仿宋"/>
          <w:sz w:val="32"/>
          <w:szCs w:val="32"/>
        </w:rPr>
        <w:t>7万元的</w:t>
      </w:r>
      <w:r>
        <w:rPr>
          <w:rFonts w:hint="eastAsia" w:ascii="方正仿宋简体" w:hAnsi="仿宋" w:eastAsia="方正仿宋简体" w:cs="仿宋"/>
          <w:sz w:val="32"/>
          <w:szCs w:val="32"/>
          <w:lang w:val="en-US" w:eastAsia="zh-CN"/>
        </w:rPr>
        <w:t>47</w:t>
      </w:r>
      <w:r>
        <w:rPr>
          <w:rFonts w:hint="eastAsia" w:ascii="方正仿宋简体" w:hAnsi="仿宋" w:eastAsia="方正仿宋简体" w:cs="仿宋"/>
          <w:sz w:val="32"/>
          <w:szCs w:val="32"/>
        </w:rPr>
        <w:t>.</w:t>
      </w:r>
      <w:r>
        <w:rPr>
          <w:rFonts w:hint="eastAsia" w:ascii="方正仿宋简体" w:hAnsi="仿宋" w:eastAsia="方正仿宋简体" w:cs="仿宋"/>
          <w:sz w:val="32"/>
          <w:szCs w:val="32"/>
          <w:lang w:val="en-US" w:eastAsia="zh-CN"/>
        </w:rPr>
        <w:t>19</w:t>
      </w:r>
      <w:r>
        <w:rPr>
          <w:rFonts w:hint="eastAsia" w:ascii="方正仿宋简体" w:hAnsi="仿宋" w:eastAsia="方正仿宋简体" w:cs="仿宋"/>
          <w:sz w:val="32"/>
          <w:szCs w:val="32"/>
        </w:rPr>
        <w:t>%。我部门无政府性基金预算项目支出，没有对2021年度政府性基金预算项目支出开展绩效评价。</w:t>
      </w:r>
    </w:p>
    <w:p>
      <w:pPr>
        <w:pStyle w:val="2"/>
        <w:rPr>
          <w:rFonts w:ascii="方正仿宋简体" w:hAnsi="仿宋" w:eastAsia="方正仿宋简体" w:cs="仿宋"/>
          <w:sz w:val="32"/>
          <w:szCs w:val="32"/>
        </w:rPr>
      </w:pPr>
      <w:r>
        <w:rPr>
          <w:rFonts w:hint="eastAsia" w:ascii="方正仿宋简体" w:hAnsi="仿宋" w:eastAsia="方正仿宋简体" w:cs="仿宋"/>
          <w:sz w:val="32"/>
          <w:szCs w:val="32"/>
        </w:rPr>
        <w:t>二、部门决算中项目</w:t>
      </w:r>
      <w:r>
        <w:rPr>
          <w:rFonts w:hint="eastAsia" w:ascii="方正仿宋简体" w:hAnsi="仿宋" w:eastAsia="方正仿宋简体" w:cs="仿宋"/>
          <w:bCs/>
          <w:sz w:val="32"/>
          <w:szCs w:val="32"/>
        </w:rPr>
        <w:t>绩效自评</w:t>
      </w:r>
      <w:r>
        <w:rPr>
          <w:rFonts w:hint="eastAsia" w:ascii="方正仿宋简体" w:hAnsi="仿宋" w:eastAsia="方正仿宋简体" w:cs="仿宋"/>
          <w:sz w:val="32"/>
          <w:szCs w:val="32"/>
        </w:rPr>
        <w:t>结果</w:t>
      </w:r>
    </w:p>
    <w:p>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2021年</w:t>
      </w:r>
      <w:r>
        <w:rPr>
          <w:rFonts w:hint="eastAsia" w:ascii="方正仿宋简体" w:hAnsi="仿宋" w:eastAsia="方正仿宋简体" w:cs="仿宋"/>
          <w:sz w:val="32"/>
          <w:szCs w:val="32"/>
          <w:lang w:eastAsia="zh-CN"/>
        </w:rPr>
        <w:t>党代会会议经费</w:t>
      </w:r>
      <w:r>
        <w:rPr>
          <w:rFonts w:hint="eastAsia" w:ascii="方正仿宋简体" w:hAnsi="仿宋" w:eastAsia="方正仿宋简体" w:cs="仿宋"/>
          <w:sz w:val="32"/>
          <w:szCs w:val="32"/>
        </w:rPr>
        <w:t>绩效自评综述：根据年初设定的绩效目标，项目自评得分为100分。全年预算数为</w:t>
      </w:r>
      <w:r>
        <w:rPr>
          <w:rFonts w:hint="eastAsia" w:ascii="方正仿宋简体" w:hAnsi="仿宋" w:eastAsia="方正仿宋简体" w:cs="仿宋"/>
          <w:sz w:val="32"/>
          <w:szCs w:val="32"/>
          <w:lang w:val="en-US" w:eastAsia="zh-CN"/>
        </w:rPr>
        <w:t>40.69</w:t>
      </w:r>
      <w:r>
        <w:rPr>
          <w:rFonts w:hint="eastAsia" w:ascii="方正仿宋简体" w:hAnsi="仿宋" w:eastAsia="方正仿宋简体" w:cs="仿宋"/>
          <w:sz w:val="32"/>
          <w:szCs w:val="32"/>
        </w:rPr>
        <w:t>万元，执行数为</w:t>
      </w:r>
      <w:r>
        <w:rPr>
          <w:rFonts w:hint="eastAsia" w:ascii="方正仿宋简体" w:hAnsi="仿宋" w:eastAsia="方正仿宋简体" w:cs="仿宋"/>
          <w:sz w:val="32"/>
          <w:szCs w:val="32"/>
          <w:lang w:val="en-US" w:eastAsia="zh-CN"/>
        </w:rPr>
        <w:t>40.69</w:t>
      </w:r>
      <w:r>
        <w:rPr>
          <w:rFonts w:hint="eastAsia" w:ascii="方正仿宋简体" w:hAnsi="仿宋" w:eastAsia="方正仿宋简体" w:cs="仿宋"/>
          <w:sz w:val="32"/>
          <w:szCs w:val="32"/>
        </w:rPr>
        <w:t>万元，完成预算的100%。项目绩效目标完成情况：一是年初预算的县级资金</w:t>
      </w:r>
      <w:r>
        <w:rPr>
          <w:rFonts w:hint="eastAsia" w:ascii="方正仿宋简体" w:hAnsi="仿宋" w:eastAsia="方正仿宋简体" w:cs="仿宋"/>
          <w:sz w:val="32"/>
          <w:szCs w:val="32"/>
          <w:lang w:val="en-US" w:eastAsia="zh-CN"/>
        </w:rPr>
        <w:t>40.69</w:t>
      </w:r>
      <w:r>
        <w:rPr>
          <w:rFonts w:hint="eastAsia" w:ascii="方正仿宋简体" w:hAnsi="仿宋" w:eastAsia="方正仿宋简体" w:cs="仿宋"/>
          <w:sz w:val="32"/>
          <w:szCs w:val="32"/>
        </w:rPr>
        <w:t>万元，用于</w:t>
      </w:r>
      <w:r>
        <w:rPr>
          <w:rFonts w:hint="eastAsia" w:ascii="方正仿宋简体" w:hAnsi="仿宋" w:eastAsia="方正仿宋简体" w:cs="仿宋"/>
          <w:sz w:val="32"/>
          <w:szCs w:val="32"/>
          <w:lang w:eastAsia="zh-CN"/>
        </w:rPr>
        <w:t>党代会会议</w:t>
      </w:r>
      <w:r>
        <w:rPr>
          <w:rFonts w:hint="eastAsia" w:ascii="方正仿宋简体" w:hAnsi="仿宋" w:eastAsia="方正仿宋简体" w:cs="仿宋"/>
          <w:sz w:val="32"/>
          <w:szCs w:val="32"/>
        </w:rPr>
        <w:t>，实际执行</w:t>
      </w:r>
      <w:r>
        <w:rPr>
          <w:rFonts w:hint="eastAsia" w:ascii="方正仿宋简体" w:hAnsi="仿宋" w:eastAsia="方正仿宋简体" w:cs="仿宋"/>
          <w:sz w:val="32"/>
          <w:szCs w:val="32"/>
          <w:lang w:val="en-US" w:eastAsia="zh-CN"/>
        </w:rPr>
        <w:t>40.69</w:t>
      </w:r>
      <w:r>
        <w:rPr>
          <w:rFonts w:hint="eastAsia" w:ascii="方正仿宋简体" w:hAnsi="仿宋" w:eastAsia="方正仿宋简体" w:cs="仿宋"/>
          <w:sz w:val="32"/>
          <w:szCs w:val="32"/>
        </w:rPr>
        <w:t>万元，预算执行率100%；二是提高行政效率;三是适应现代办公水平。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w:t>
      </w:r>
      <w:r>
        <w:rPr>
          <w:rFonts w:hint="eastAsia" w:ascii="方正仿宋简体" w:hAnsi="仿宋" w:eastAsia="方正仿宋简体" w:cs="仿宋"/>
          <w:sz w:val="32"/>
          <w:szCs w:val="32"/>
          <w:lang w:eastAsia="zh-CN"/>
        </w:rPr>
        <w:t>财务</w:t>
      </w:r>
      <w:r>
        <w:rPr>
          <w:rFonts w:hint="eastAsia" w:ascii="方正仿宋简体" w:hAnsi="仿宋" w:eastAsia="方正仿宋简体" w:cs="仿宋"/>
          <w:sz w:val="32"/>
          <w:szCs w:val="32"/>
        </w:rPr>
        <w:t>工作；三是缺少财政部门组织专门的学习指导和业务培训。下一步改进措施：一是立足工作实际，进一步提高对绩效评价工作的认识; 二是科学合理地制定绩效目标，使绩效评价工作进一步完善提高。</w:t>
      </w:r>
    </w:p>
    <w:p>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2020年度目标责任考核奖励金项目绩效自评综述：根据设定的绩效目标，项目自评得分为100分。全年预算数为3.</w:t>
      </w:r>
      <w:r>
        <w:rPr>
          <w:rFonts w:hint="eastAsia" w:ascii="方正仿宋简体" w:hAnsi="仿宋" w:eastAsia="方正仿宋简体" w:cs="仿宋"/>
          <w:sz w:val="32"/>
          <w:szCs w:val="32"/>
          <w:lang w:val="en-US" w:eastAsia="zh-CN"/>
        </w:rPr>
        <w:t>34</w:t>
      </w:r>
      <w:r>
        <w:rPr>
          <w:rFonts w:hint="eastAsia" w:ascii="方正仿宋简体" w:hAnsi="仿宋" w:eastAsia="方正仿宋简体" w:cs="仿宋"/>
          <w:sz w:val="32"/>
          <w:szCs w:val="32"/>
        </w:rPr>
        <w:t>万元，执行数为3.</w:t>
      </w:r>
      <w:r>
        <w:rPr>
          <w:rFonts w:hint="eastAsia" w:ascii="方正仿宋简体" w:hAnsi="仿宋" w:eastAsia="方正仿宋简体" w:cs="仿宋"/>
          <w:sz w:val="32"/>
          <w:szCs w:val="32"/>
          <w:lang w:val="en-US" w:eastAsia="zh-CN"/>
        </w:rPr>
        <w:t>34</w:t>
      </w:r>
      <w:r>
        <w:rPr>
          <w:rFonts w:hint="eastAsia" w:ascii="方正仿宋简体" w:hAnsi="仿宋" w:eastAsia="方正仿宋简体" w:cs="仿宋"/>
          <w:sz w:val="32"/>
          <w:szCs w:val="32"/>
        </w:rPr>
        <w:t>万元，完成预算的100%。项目绩效目标完成情况：一是年初</w:t>
      </w:r>
      <w:r>
        <w:rPr>
          <w:rFonts w:hint="eastAsia" w:ascii="方正仿宋简体" w:hAnsi="仿宋" w:eastAsia="方正仿宋简体" w:cs="仿宋"/>
          <w:sz w:val="32"/>
          <w:szCs w:val="32"/>
          <w:lang w:eastAsia="zh-CN"/>
        </w:rPr>
        <w:t>下拨</w:t>
      </w:r>
      <w:r>
        <w:rPr>
          <w:rFonts w:hint="eastAsia" w:ascii="方正仿宋简体" w:hAnsi="仿宋" w:eastAsia="方正仿宋简体" w:cs="仿宋"/>
          <w:sz w:val="32"/>
          <w:szCs w:val="32"/>
        </w:rPr>
        <w:t>的上级转移支付资金3.</w:t>
      </w:r>
      <w:r>
        <w:rPr>
          <w:rFonts w:hint="eastAsia" w:ascii="方正仿宋简体" w:hAnsi="仿宋" w:eastAsia="方正仿宋简体" w:cs="仿宋"/>
          <w:sz w:val="32"/>
          <w:szCs w:val="32"/>
          <w:lang w:val="en-US" w:eastAsia="zh-CN"/>
        </w:rPr>
        <w:t>34</w:t>
      </w:r>
      <w:r>
        <w:rPr>
          <w:rFonts w:hint="eastAsia" w:ascii="方正仿宋简体" w:hAnsi="仿宋" w:eastAsia="方正仿宋简体" w:cs="仿宋"/>
          <w:sz w:val="32"/>
          <w:szCs w:val="32"/>
        </w:rPr>
        <w:t>万元，用于对部分表现突出的公务员进行表彰奖励，实际执行3.</w:t>
      </w:r>
      <w:r>
        <w:rPr>
          <w:rFonts w:hint="eastAsia" w:ascii="方正仿宋简体" w:hAnsi="仿宋" w:eastAsia="方正仿宋简体" w:cs="仿宋"/>
          <w:sz w:val="32"/>
          <w:szCs w:val="32"/>
          <w:lang w:val="en-US" w:eastAsia="zh-CN"/>
        </w:rPr>
        <w:t>34</w:t>
      </w:r>
      <w:r>
        <w:rPr>
          <w:rFonts w:hint="eastAsia" w:ascii="方正仿宋简体" w:hAnsi="仿宋" w:eastAsia="方正仿宋简体" w:cs="仿宋"/>
          <w:sz w:val="32"/>
          <w:szCs w:val="32"/>
        </w:rPr>
        <w:t>万元，预算执行率100%；二是奖励金按照相关要求发放到位，进一步调动和激励在职在册公务员担当履职、爱岗敬业、对标一流、争创佳绩。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w:t>
      </w:r>
      <w:r>
        <w:rPr>
          <w:rFonts w:hint="eastAsia" w:ascii="方正仿宋简体" w:hAnsi="仿宋" w:eastAsia="方正仿宋简体" w:cs="仿宋"/>
          <w:sz w:val="32"/>
          <w:szCs w:val="32"/>
          <w:lang w:eastAsia="zh-CN"/>
        </w:rPr>
        <w:t>财务</w:t>
      </w:r>
      <w:r>
        <w:rPr>
          <w:rFonts w:hint="eastAsia" w:ascii="方正仿宋简体" w:hAnsi="仿宋" w:eastAsia="方正仿宋简体" w:cs="仿宋"/>
          <w:sz w:val="32"/>
          <w:szCs w:val="32"/>
        </w:rPr>
        <w:t>工作；三是缺少财政部门组织专门的学习指导和业务培训。下一步改进措施：一是立足工作实际，进一步提高对绩效评价工作的认识; 二是科学合理地制定绩效目标，使绩效评价工作进一步完善提高。</w:t>
      </w:r>
    </w:p>
    <w:p>
      <w:pPr>
        <w:pStyle w:val="2"/>
        <w:ind w:firstLine="640" w:firstLineChars="200"/>
        <w:rPr>
          <w:rFonts w:ascii="方正仿宋简体" w:hAnsi="仿宋" w:eastAsia="方正仿宋简体" w:cs="仿宋"/>
          <w:sz w:val="32"/>
          <w:szCs w:val="32"/>
        </w:rPr>
      </w:pPr>
      <w:r>
        <w:rPr>
          <w:rFonts w:hint="eastAsia" w:ascii="方正仿宋简体" w:hAnsi="仿宋" w:eastAsia="方正仿宋简体" w:cs="仿宋"/>
          <w:sz w:val="32"/>
          <w:szCs w:val="32"/>
        </w:rPr>
        <w:t>一次性抚恤金项目绩效自评综述：根据设定的绩效目标，项目自评得分为100分。全年预算数为</w:t>
      </w:r>
      <w:r>
        <w:rPr>
          <w:rFonts w:hint="eastAsia" w:ascii="方正仿宋简体" w:hAnsi="仿宋" w:eastAsia="方正仿宋简体" w:cs="仿宋"/>
          <w:sz w:val="32"/>
          <w:szCs w:val="32"/>
          <w:lang w:val="en-US" w:eastAsia="zh-CN"/>
        </w:rPr>
        <w:t>18.68</w:t>
      </w:r>
      <w:r>
        <w:rPr>
          <w:rFonts w:hint="eastAsia" w:ascii="方正仿宋简体" w:hAnsi="仿宋" w:eastAsia="方正仿宋简体" w:cs="仿宋"/>
          <w:sz w:val="32"/>
          <w:szCs w:val="32"/>
        </w:rPr>
        <w:t>万元，执行数为</w:t>
      </w:r>
      <w:r>
        <w:rPr>
          <w:rFonts w:hint="eastAsia" w:ascii="方正仿宋简体" w:hAnsi="仿宋" w:eastAsia="方正仿宋简体" w:cs="仿宋"/>
          <w:sz w:val="32"/>
          <w:szCs w:val="32"/>
          <w:lang w:val="en-US" w:eastAsia="zh-CN"/>
        </w:rPr>
        <w:t>18.68</w:t>
      </w:r>
      <w:r>
        <w:rPr>
          <w:rFonts w:hint="eastAsia" w:ascii="方正仿宋简体" w:hAnsi="仿宋" w:eastAsia="方正仿宋简体" w:cs="仿宋"/>
          <w:sz w:val="32"/>
          <w:szCs w:val="32"/>
        </w:rPr>
        <w:t>万元，完成预算的100%。项目绩效目标完成情况：一是年初预算的县级资金</w:t>
      </w:r>
      <w:r>
        <w:rPr>
          <w:rFonts w:hint="eastAsia" w:ascii="方正仿宋简体" w:hAnsi="仿宋" w:eastAsia="方正仿宋简体" w:cs="仿宋"/>
          <w:sz w:val="32"/>
          <w:szCs w:val="32"/>
          <w:lang w:val="en-US" w:eastAsia="zh-CN"/>
        </w:rPr>
        <w:t>18.6</w:t>
      </w:r>
      <w:r>
        <w:rPr>
          <w:rFonts w:hint="eastAsia" w:ascii="方正仿宋简体" w:hAnsi="仿宋" w:eastAsia="方正仿宋简体" w:cs="仿宋"/>
          <w:sz w:val="32"/>
          <w:szCs w:val="32"/>
        </w:rPr>
        <w:t>8万元，用于单位退休人员死亡后一次性抚恤，实际执行</w:t>
      </w:r>
      <w:r>
        <w:rPr>
          <w:rFonts w:hint="eastAsia" w:ascii="方正仿宋简体" w:hAnsi="仿宋" w:eastAsia="方正仿宋简体" w:cs="仿宋"/>
          <w:sz w:val="32"/>
          <w:szCs w:val="32"/>
          <w:lang w:val="en-US" w:eastAsia="zh-CN"/>
        </w:rPr>
        <w:t>18.6</w:t>
      </w:r>
      <w:r>
        <w:rPr>
          <w:rFonts w:hint="eastAsia" w:ascii="方正仿宋简体" w:hAnsi="仿宋" w:eastAsia="方正仿宋简体" w:cs="仿宋"/>
          <w:sz w:val="32"/>
          <w:szCs w:val="32"/>
        </w:rPr>
        <w:t>8万元，预算执行率100%；二是按照相关规定对国家机关、事业单位工作人员死亡后一次性抚恤,体现党和政府的温暖与关怀；三是对死亡人员的一次性抚恤，安抚、慰问死亡人员的家属，提高死亡人员家属的生活质量和幸福指数。发现的主要问题及原因：一是绩效评价工作仍需进一步巩固完善；二是绩效目标需进一步细化；三是对绩效评价工作的认识和重视程度需进一步提高。产生问题的原因一是绩效评价工作刚刚开展，是个全新的课题；二是报账员都不是专业人员却被做着越来越专业的</w:t>
      </w:r>
      <w:r>
        <w:rPr>
          <w:rFonts w:hint="eastAsia" w:ascii="方正仿宋简体" w:hAnsi="仿宋" w:eastAsia="方正仿宋简体" w:cs="仿宋"/>
          <w:sz w:val="32"/>
          <w:szCs w:val="32"/>
          <w:lang w:eastAsia="zh-CN"/>
        </w:rPr>
        <w:t>财务</w:t>
      </w:r>
      <w:r>
        <w:rPr>
          <w:rFonts w:hint="eastAsia" w:ascii="方正仿宋简体" w:hAnsi="仿宋" w:eastAsia="方正仿宋简体" w:cs="仿宋"/>
          <w:sz w:val="32"/>
          <w:szCs w:val="32"/>
        </w:rPr>
        <w:t>工作；三是缺少财政部门组织专门的学习指导和业务培训。下一步改进措施：一是立足工作实际，进一步提高对绩效评价工作的认识; 二是科学合理地制定绩效目标，使绩效评价工作进一步完善提高。</w:t>
      </w:r>
    </w:p>
    <w:p>
      <w:pPr>
        <w:ind w:firstLine="640" w:firstLineChars="200"/>
        <w:rPr>
          <w:rFonts w:ascii="方正仿宋简体" w:hAnsi="黑体" w:eastAsia="方正仿宋简体"/>
          <w:color w:val="000000" w:themeColor="text1"/>
          <w:kern w:val="0"/>
          <w:sz w:val="32"/>
          <w:szCs w:val="32"/>
          <w14:textFill>
            <w14:solidFill>
              <w14:schemeClr w14:val="tx1"/>
            </w14:solidFill>
          </w14:textFill>
        </w:rPr>
      </w:pPr>
      <w:r>
        <w:rPr>
          <w:rFonts w:hint="eastAsia" w:ascii="方正仿宋简体" w:hAnsi="黑体" w:eastAsia="方正仿宋简体"/>
          <w:color w:val="000000" w:themeColor="text1"/>
          <w:kern w:val="0"/>
          <w:sz w:val="32"/>
          <w:szCs w:val="32"/>
          <w14:textFill>
            <w14:solidFill>
              <w14:schemeClr w14:val="tx1"/>
            </w14:solidFill>
          </w14:textFill>
        </w:rPr>
        <w:t>第四部分 部门名词解释</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二、收入</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三、支出</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ascii="方正仿宋简体" w:hAnsi="宋体" w:eastAsia="方正仿宋简体"/>
          <w:color w:val="000000" w:themeColor="text1"/>
          <w:kern w:val="0"/>
          <w:sz w:val="32"/>
          <w:szCs w:val="32"/>
          <w14:textFill>
            <w14:solidFill>
              <w14:schemeClr w14:val="tx1"/>
            </w14:solidFill>
          </w14:textFill>
        </w:rPr>
      </w:pPr>
      <w:r>
        <w:rPr>
          <w:rFonts w:hint="eastAsia" w:ascii="方正仿宋简体" w:hAnsi="宋体" w:eastAsia="方正仿宋简体"/>
          <w:color w:val="000000" w:themeColor="text1"/>
          <w:kern w:val="0"/>
          <w:sz w:val="32"/>
          <w:szCs w:val="32"/>
          <w14:textFill>
            <w14:solidFill>
              <w14:schemeClr w14:val="tx1"/>
            </w14:solidFill>
          </w14:textFill>
        </w:rPr>
        <w:t>四、“三公”经费：一般公共预算安排的因公出国（境）费、公务用车购置及运行费和公务接待费。</w:t>
      </w:r>
    </w:p>
    <w:p>
      <w:pPr>
        <w:jc w:val="right"/>
        <w:rPr>
          <w:rFonts w:hint="eastAsia" w:ascii="方正仿宋简体" w:eastAsia="方正仿宋简体"/>
          <w:color w:val="000000" w:themeColor="text1"/>
          <w:sz w:val="32"/>
          <w:szCs w:val="32"/>
          <w:lang w:eastAsia="zh-CN"/>
          <w14:textFill>
            <w14:solidFill>
              <w14:schemeClr w14:val="tx1"/>
            </w14:solidFill>
          </w14:textFill>
        </w:rPr>
      </w:pPr>
    </w:p>
    <w:p>
      <w:pPr>
        <w:jc w:val="right"/>
        <w:rPr>
          <w:rFonts w:hint="eastAsia" w:ascii="方正仿宋简体" w:eastAsia="方正仿宋简体"/>
          <w:color w:val="000000" w:themeColor="text1"/>
          <w:sz w:val="32"/>
          <w:szCs w:val="32"/>
          <w:lang w:eastAsia="zh-CN"/>
          <w14:textFill>
            <w14:solidFill>
              <w14:schemeClr w14:val="tx1"/>
            </w14:solidFill>
          </w14:textFill>
        </w:rPr>
      </w:pPr>
      <w:bookmarkStart w:id="0" w:name="_GoBack"/>
      <w:bookmarkEnd w:id="0"/>
    </w:p>
    <w:p>
      <w:pPr>
        <w:jc w:val="right"/>
        <w:rPr>
          <w:rFonts w:hint="eastAsia" w:ascii="方正仿宋简体" w:eastAsia="方正仿宋简体"/>
          <w:color w:val="000000" w:themeColor="text1"/>
          <w:sz w:val="32"/>
          <w:szCs w:val="32"/>
          <w:lang w:eastAsia="zh-CN"/>
          <w14:textFill>
            <w14:solidFill>
              <w14:schemeClr w14:val="tx1"/>
            </w14:solidFill>
          </w14:textFill>
        </w:rPr>
      </w:pPr>
    </w:p>
    <w:p>
      <w:pPr>
        <w:jc w:val="right"/>
        <w:rPr>
          <w:rFonts w:hint="eastAsia" w:ascii="方正仿宋简体" w:eastAsia="方正仿宋简体"/>
          <w:color w:val="000000" w:themeColor="text1"/>
          <w:sz w:val="32"/>
          <w:szCs w:val="32"/>
          <w:lang w:eastAsia="zh-CN"/>
          <w14:textFill>
            <w14:solidFill>
              <w14:schemeClr w14:val="tx1"/>
            </w14:solidFill>
          </w14:textFill>
        </w:rPr>
      </w:pPr>
      <w:r>
        <w:rPr>
          <w:rFonts w:hint="eastAsia" w:ascii="方正仿宋简体" w:eastAsia="方正仿宋简体"/>
          <w:color w:val="000000" w:themeColor="text1"/>
          <w:sz w:val="32"/>
          <w:szCs w:val="32"/>
          <w:lang w:eastAsia="zh-CN"/>
          <w14:textFill>
            <w14:solidFill>
              <w14:schemeClr w14:val="tx1"/>
            </w14:solidFill>
          </w14:textFill>
        </w:rPr>
        <w:t>中国共产党浑源县委员会办公室</w:t>
      </w:r>
    </w:p>
    <w:p>
      <w:pPr>
        <w:jc w:val="right"/>
        <w:rPr>
          <w:rFonts w:ascii="方正仿宋简体" w:eastAsia="方正仿宋简体"/>
          <w:sz w:val="32"/>
          <w:szCs w:val="32"/>
        </w:rPr>
      </w:pPr>
      <w:r>
        <w:rPr>
          <w:rFonts w:hint="eastAsia" w:ascii="方正仿宋简体" w:eastAsia="方正仿宋简体"/>
          <w:color w:val="000000" w:themeColor="text1"/>
          <w:sz w:val="32"/>
          <w:szCs w:val="32"/>
          <w14:textFill>
            <w14:solidFill>
              <w14:schemeClr w14:val="tx1"/>
            </w14:solidFill>
          </w14:textFill>
        </w:rPr>
        <w:t xml:space="preserve"> 2022年7月15日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325BD8"/>
    <w:multiLevelType w:val="multilevel"/>
    <w:tmpl w:val="54325BD8"/>
    <w:lvl w:ilvl="0" w:tentative="0">
      <w:start w:val="7"/>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3ZDkxMDE5NmVkOTE0MDQ5MGJmYzE1ZjNjNDY5N2YifQ=="/>
  </w:docVars>
  <w:rsids>
    <w:rsidRoot w:val="003F7307"/>
    <w:rsid w:val="000A4563"/>
    <w:rsid w:val="00125881"/>
    <w:rsid w:val="003F7307"/>
    <w:rsid w:val="004858C0"/>
    <w:rsid w:val="007F3F02"/>
    <w:rsid w:val="009D461B"/>
    <w:rsid w:val="009F41CF"/>
    <w:rsid w:val="009F60B3"/>
    <w:rsid w:val="00A94A50"/>
    <w:rsid w:val="00C45692"/>
    <w:rsid w:val="00C54B89"/>
    <w:rsid w:val="00C56FB3"/>
    <w:rsid w:val="00CC32FB"/>
    <w:rsid w:val="00E93985"/>
    <w:rsid w:val="2C6678DA"/>
    <w:rsid w:val="50290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6"/>
    <w:semiHidden/>
    <w:unhideWhenUsed/>
    <w:qFormat/>
    <w:uiPriority w:val="99"/>
    <w:rPr>
      <w:rFonts w:ascii="宋体" w:hAnsi="Courier New" w:eastAsia="宋体" w:cs="Courier New"/>
      <w:szCs w:val="21"/>
    </w:rPr>
  </w:style>
  <w:style w:type="paragraph" w:styleId="5">
    <w:name w:val="List Paragraph"/>
    <w:basedOn w:val="1"/>
    <w:qFormat/>
    <w:uiPriority w:val="34"/>
    <w:pPr>
      <w:ind w:firstLine="420" w:firstLineChars="200"/>
    </w:pPr>
  </w:style>
  <w:style w:type="character" w:customStyle="1" w:styleId="6">
    <w:name w:val="纯文本 Char"/>
    <w:basedOn w:val="4"/>
    <w:link w:val="2"/>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5846</Words>
  <Characters>6156</Characters>
  <Lines>44</Lines>
  <Paragraphs>12</Paragraphs>
  <TotalTime>43</TotalTime>
  <ScaleCrop>false</ScaleCrop>
  <LinksUpToDate>false</LinksUpToDate>
  <CharactersWithSpaces>6191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2022-07-13T11:14:00Z</dcterms:created>
  <dc:creator>Windows 用户</dc:creator>
  <cp:lastModifiedBy>Administrator</cp:lastModifiedBy>
  <dcterms:modified xsi:type="dcterms:W3CDTF">2022-07-14T03:22:30Z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4C0F5BD984254E67A1E087C4C5C5B4E0</vt:lpwstr>
  </property>
</Properties>
</file>