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（十一）</w:t>
      </w:r>
      <w:r>
        <w:rPr>
          <w:rFonts w:ascii="方正小标宋_GBK" w:hAnsi="方正小标宋_GBK" w:eastAsia="方正小标宋_GBK"/>
          <w:b w:val="0"/>
          <w:bCs w:val="0"/>
          <w:sz w:val="30"/>
        </w:rPr>
        <w:t>城乡规划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Start w:id="0" w:name="_GoBack"/>
      <w:bookmarkEnd w:id="0"/>
    </w:p>
    <w:tbl>
      <w:tblPr>
        <w:tblStyle w:val="3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公共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法规文件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城乡规划领域相关法律、法规、规章、规范性文件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浑源县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政民互动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城乡规划事项的意见征集、咨询、信访等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浑源县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办事服务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行政许可的事项、依据、条件、数量、程序、期限以及申请行政许可需要提交的全部材料目录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浑源县行政审批服务管理局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■两微一端 </w:t>
            </w:r>
          </w:p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规划编制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城市、镇总体规划及同级的土地利用规划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规划批准文件、脱密后的文本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图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浑源县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乡规划及同级的土地利用规划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脱密后的文本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及图纸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土地管理法》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城乡规划法》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政府信息公开条例》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信息形成或者变更之日起20个工作日内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浑源县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自然资源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局</w:t>
            </w:r>
          </w:p>
        </w:tc>
        <w:tc>
          <w:tcPr>
            <w:tcW w:w="2756" w:type="dxa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■政府网站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widowControl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■公开查阅点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E0898"/>
    <w:rsid w:val="00BA5E44"/>
    <w:rsid w:val="7D5E0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2020-11-27T10:48:00Z</dcterms:created>
  <dc:creator>Administrator</dc:creator>
  <cp:lastModifiedBy>艳明</cp:lastModifiedBy>
  <dcterms:modified xsi:type="dcterms:W3CDTF">2020-11-30T01:39:08Z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