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A2826">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微软雅黑" w:hAnsi="微软雅黑" w:eastAsia="微软雅黑" w:cs="微软雅黑"/>
          <w:snapToGrid w:val="0"/>
          <w:color w:val="000000"/>
          <w:spacing w:val="9"/>
          <w:kern w:val="0"/>
          <w:sz w:val="44"/>
          <w:szCs w:val="44"/>
          <w:lang w:val="en-US" w:eastAsia="zh-CN"/>
        </w:rPr>
      </w:pPr>
      <w:bookmarkStart w:id="0" w:name="_Toc3666"/>
    </w:p>
    <w:p w14:paraId="60EB6B8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微软雅黑" w:hAnsi="微软雅黑" w:eastAsia="微软雅黑" w:cs="微软雅黑"/>
          <w:snapToGrid w:val="0"/>
          <w:color w:val="000000"/>
          <w:spacing w:val="9"/>
          <w:kern w:val="0"/>
          <w:sz w:val="44"/>
          <w:szCs w:val="44"/>
          <w:lang w:eastAsia="zh-CN"/>
        </w:rPr>
      </w:pPr>
      <w:bookmarkStart w:id="47" w:name="_GoBack"/>
      <w:bookmarkEnd w:id="47"/>
      <w:r>
        <w:rPr>
          <w:rFonts w:hint="eastAsia" w:ascii="微软雅黑" w:hAnsi="微软雅黑" w:eastAsia="微软雅黑" w:cs="微软雅黑"/>
          <w:snapToGrid w:val="0"/>
          <w:color w:val="000000"/>
          <w:spacing w:val="9"/>
          <w:kern w:val="0"/>
          <w:sz w:val="44"/>
          <w:szCs w:val="44"/>
          <w:lang w:val="en-US" w:eastAsia="zh-CN"/>
        </w:rPr>
        <w:t>浑源县</w:t>
      </w:r>
      <w:r>
        <w:rPr>
          <w:rFonts w:hint="eastAsia" w:ascii="微软雅黑" w:hAnsi="微软雅黑" w:eastAsia="微软雅黑" w:cs="微软雅黑"/>
          <w:snapToGrid w:val="0"/>
          <w:color w:val="000000"/>
          <w:spacing w:val="9"/>
          <w:kern w:val="0"/>
          <w:sz w:val="44"/>
          <w:szCs w:val="44"/>
          <w:lang w:eastAsia="zh-CN"/>
        </w:rPr>
        <w:t>冶金工贸行业生产安全事故应急预案</w:t>
      </w:r>
      <w:bookmarkEnd w:id="0"/>
    </w:p>
    <w:p w14:paraId="179FE267">
      <w:pPr>
        <w:pStyle w:val="10"/>
        <w:keepNext w:val="0"/>
        <w:keepLines w:val="0"/>
        <w:pageBreakBefore w:val="0"/>
        <w:widowControl w:val="0"/>
        <w:shd w:val="clear"/>
        <w:tabs>
          <w:tab w:val="right" w:leader="dot" w:pos="8845"/>
        </w:tabs>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p>
    <w:p w14:paraId="235012BA">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_Toc20916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EDB849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_Toc19550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1．1  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905E60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_Toc8461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1．2  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EC7625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_Toc20710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1．3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6EDD2D1">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_Toc987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1．4  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5BF1A65">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_Toc32492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1．5  事故分级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720CE6F">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_Toc32667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2浑源县冶金工贸行业生产安全事故指挥体系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D0FAA1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_Toc24283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2．1  县冶金工贸行业生产安全事故应急救援指挥部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BAAECF3">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_Toc14435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2．2  分级应对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E4B68DA">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_Toc13408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2．3  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F3AA78D">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_Toc7003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A7A9298">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_Toc14218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4监测与预警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DD2773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4．1  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D7CA72B">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_Toc4110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4．2  预警发布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B53EAF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_Toc29151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4．3  预警行动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09ED171">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_Toc27532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4．4  预警解除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590C968">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_Toc27221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5应急处置与救援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_Toc27221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F73C378">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_Toc3839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5．1  信息报告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3B89C2E">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_Toc20641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5．2  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189A879">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_Toc1225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5．3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EBC0BF6">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_Toc9563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5．4  响应调整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C16556B">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_Toc21490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5．5  响应结束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AE04C86">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6后期处置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A289990">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_Toc21145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6．1  善后处置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7516D2A1">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_Toc2790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6．2  保险理赔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9F9F302">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_Toc29858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6．3  调查与评估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_Toc29858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7DC28AE">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_Toc28722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7恢复与重建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444B3EF">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_Toc16681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8保障措施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EBC3F3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_Toc31101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8．1  通信保障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AFCF88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_Toc11335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8．2  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498627A">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_Toc10310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8．3  经费保障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6C6F950C">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_Toc16417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8．4  治安保障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_Toc16417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9198065">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_Toc14907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8．5  物资、装备保障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8C6CBC3">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_Toc5983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8．6  交通运输保障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_Toc5983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4F16141">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_Toc31875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8．7  医疗保障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1813E91A">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_Toc25381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9宣传、培训和演练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FAA59A1">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_Toc23726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9．1  宣传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1D99D64">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_Toc3448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9．2  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A87B7D3">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_Toc29142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9．3  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07A88E7C">
      <w:pPr>
        <w:pStyle w:val="10"/>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_Toc13242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10附则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500BFE1B">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_Toc26500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10.1  预案制定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2CA1955F">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_Toc19579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10.2  预案更新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_Toc19579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313C9AD4">
      <w:pPr>
        <w:pStyle w:val="11"/>
        <w:keepNext w:val="0"/>
        <w:keepLines w:val="0"/>
        <w:pageBreakBefore w:val="0"/>
        <w:widowControl w:val="0"/>
        <w:shd w:val="clear"/>
        <w:tabs>
          <w:tab w:val="right" w:leader="dot" w:pos="8845"/>
        </w:tabs>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_Toc5765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10.3  预案解释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fldChar w:fldCharType="end"/>
      </w:r>
    </w:p>
    <w:p w14:paraId="4ACFEF58">
      <w:pPr>
        <w:pStyle w:val="2"/>
        <w:keepNext w:val="0"/>
        <w:keepLines w:val="0"/>
        <w:pageBreakBefore w:val="0"/>
        <w:widowControl w:val="0"/>
        <w:shd w:val="clear"/>
        <w:kinsoku/>
        <w:wordWrap/>
        <w:overflowPunct/>
        <w:topLinePunct w:val="0"/>
        <w:autoSpaceDE/>
        <w:autoSpaceDN/>
        <w:bidi w:val="0"/>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fldChar w:fldCharType="end"/>
      </w:r>
    </w:p>
    <w:p w14:paraId="0738B3A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微软雅黑" w:hAnsi="微软雅黑" w:eastAsia="微软雅黑" w:cs="微软雅黑"/>
          <w:snapToGrid w:val="0"/>
          <w:color w:val="000000"/>
          <w:spacing w:val="9"/>
          <w:kern w:val="0"/>
          <w:sz w:val="44"/>
          <w:szCs w:val="44"/>
          <w:lang w:val="en-US" w:eastAsia="zh-CN"/>
        </w:rPr>
      </w:pPr>
      <w:bookmarkStart w:id="1" w:name="_Toc29051"/>
    </w:p>
    <w:p w14:paraId="75428B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outlineLvl w:val="9"/>
        <w:rPr>
          <w:rFonts w:hint="eastAsia" w:ascii="微软雅黑" w:hAnsi="微软雅黑" w:eastAsia="微软雅黑" w:cs="微软雅黑"/>
          <w:snapToGrid w:val="0"/>
          <w:color w:val="000000"/>
          <w:spacing w:val="9"/>
          <w:kern w:val="0"/>
          <w:sz w:val="44"/>
          <w:szCs w:val="44"/>
          <w:lang w:eastAsia="zh-CN"/>
        </w:rPr>
      </w:pPr>
      <w:r>
        <w:rPr>
          <w:rFonts w:hint="eastAsia" w:ascii="微软雅黑" w:hAnsi="微软雅黑" w:eastAsia="微软雅黑" w:cs="微软雅黑"/>
          <w:snapToGrid w:val="0"/>
          <w:color w:val="000000"/>
          <w:spacing w:val="9"/>
          <w:kern w:val="0"/>
          <w:sz w:val="44"/>
          <w:szCs w:val="44"/>
          <w:lang w:val="en-US" w:eastAsia="zh-CN"/>
        </w:rPr>
        <w:t>浑源县</w:t>
      </w:r>
      <w:r>
        <w:rPr>
          <w:rFonts w:hint="eastAsia" w:ascii="微软雅黑" w:hAnsi="微软雅黑" w:eastAsia="微软雅黑" w:cs="微软雅黑"/>
          <w:snapToGrid w:val="0"/>
          <w:color w:val="000000"/>
          <w:spacing w:val="9"/>
          <w:kern w:val="0"/>
          <w:sz w:val="44"/>
          <w:szCs w:val="44"/>
          <w:lang w:eastAsia="zh-CN"/>
        </w:rPr>
        <w:t>冶金工贸行业生产安全事故应急预案</w:t>
      </w:r>
      <w:bookmarkEnd w:id="1"/>
    </w:p>
    <w:p w14:paraId="7EDF549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2" w:name="_Toc20916"/>
    </w:p>
    <w:p w14:paraId="37465D7C">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1总则</w:t>
      </w:r>
      <w:bookmarkEnd w:id="2"/>
    </w:p>
    <w:p w14:paraId="61551603">
      <w:pPr>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560" w:lineRule="exact"/>
        <w:ind w:left="0" w:leftChars="0" w:firstLine="643" w:firstLineChars="200"/>
        <w:jc w:val="both"/>
        <w:textAlignment w:val="auto"/>
        <w:outlineLvl w:val="9"/>
        <w:rPr>
          <w:rFonts w:hint="eastAsia" w:ascii="仿宋_GB2312" w:hAnsi="仿宋_GB2312" w:eastAsia="仿宋_GB2312" w:cs="仿宋_GB2312"/>
          <w:sz w:val="32"/>
          <w:szCs w:val="32"/>
          <w:lang w:val="en-US" w:eastAsia="zh-CN"/>
        </w:rPr>
      </w:pPr>
      <w:bookmarkStart w:id="3" w:name="_Toc19550"/>
      <w:r>
        <w:rPr>
          <w:rFonts w:hint="eastAsia" w:ascii="仿宋_GB2312" w:hAnsi="仿宋_GB2312" w:eastAsia="仿宋_GB2312" w:cs="仿宋_GB2312"/>
          <w:b/>
          <w:bCs/>
          <w:sz w:val="32"/>
          <w:szCs w:val="32"/>
          <w:lang w:val="en-US" w:eastAsia="zh-CN"/>
        </w:rPr>
        <w:t>1．1  编制目的</w:t>
      </w:r>
      <w:bookmarkEnd w:id="3"/>
    </w:p>
    <w:p w14:paraId="374EB4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为有效应对冶金工贸行业生产安全事故，最大限度减少生产安全事故造成的人员伤亡、财产损失和环境损害，制定本预案。</w:t>
      </w:r>
    </w:p>
    <w:p w14:paraId="260666D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 w:name="_Toc8461"/>
      <w:r>
        <w:rPr>
          <w:rFonts w:hint="eastAsia" w:ascii="仿宋_GB2312" w:hAnsi="仿宋_GB2312" w:eastAsia="仿宋_GB2312" w:cs="仿宋_GB2312"/>
          <w:b/>
          <w:bCs/>
          <w:sz w:val="32"/>
          <w:szCs w:val="32"/>
          <w:lang w:val="en-US" w:eastAsia="zh-CN"/>
        </w:rPr>
        <w:t>1．2  工作原则</w:t>
      </w:r>
      <w:bookmarkEnd w:id="4"/>
    </w:p>
    <w:p w14:paraId="699123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坚持以人为本、安全第一，统一领导、协调联动，分级负责、属地为主，快速反应、科学施救的原则。</w:t>
      </w:r>
    </w:p>
    <w:p w14:paraId="16F237A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5" w:name="_Toc20710"/>
      <w:r>
        <w:rPr>
          <w:rFonts w:hint="eastAsia" w:ascii="仿宋_GB2312" w:hAnsi="仿宋_GB2312" w:eastAsia="仿宋_GB2312" w:cs="仿宋_GB2312"/>
          <w:b/>
          <w:bCs/>
          <w:sz w:val="32"/>
          <w:szCs w:val="32"/>
          <w:lang w:val="en-US" w:eastAsia="zh-CN"/>
        </w:rPr>
        <w:t>1．3  编制依据</w:t>
      </w:r>
      <w:bookmarkEnd w:id="5"/>
    </w:p>
    <w:p w14:paraId="013433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中华人民共和国突发事件应对法》《中华人民共和国安全生产法》《生产安全事故报告和调查处理条例》《生产安全事故应急条例》《生产安全事故应急预案管理办法》《生产安全事故信息报告和处置办法》《国家生产安全事故应急预案》《山西省突发事件应对条例》《山西省安全生产条例》《山西省突发事件应急预案管理办法》《山西省突发公共事件总体应急预案》《山西省生产安全事故应急预案》《山西省冶金工贸行业生产安全事故应急预案》《浑源县突发事件总体应急预案》等法律、法规和有关规定。</w:t>
      </w:r>
    </w:p>
    <w:p w14:paraId="37FCFD1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6" w:name="_Toc987"/>
      <w:r>
        <w:rPr>
          <w:rFonts w:hint="eastAsia" w:ascii="仿宋_GB2312" w:hAnsi="仿宋_GB2312" w:eastAsia="仿宋_GB2312" w:cs="仿宋_GB2312"/>
          <w:b/>
          <w:bCs/>
          <w:sz w:val="32"/>
          <w:szCs w:val="32"/>
          <w:lang w:val="en-US" w:eastAsia="zh-CN"/>
        </w:rPr>
        <w:t>1．4  适用范围</w:t>
      </w:r>
      <w:bookmarkEnd w:id="6"/>
    </w:p>
    <w:p w14:paraId="13FF04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本预案适用于浑源县行政区域内冶金、有色、建材、机械轻工、纺织、烟草、商贸行业发生的生产安全事故的应对工作。</w:t>
      </w:r>
    </w:p>
    <w:p w14:paraId="4314D94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7" w:name="_Toc32492"/>
      <w:r>
        <w:rPr>
          <w:rFonts w:hint="eastAsia" w:ascii="仿宋_GB2312" w:hAnsi="仿宋_GB2312" w:eastAsia="仿宋_GB2312" w:cs="仿宋_GB2312"/>
          <w:b/>
          <w:bCs/>
          <w:sz w:val="32"/>
          <w:szCs w:val="32"/>
          <w:lang w:val="en-US" w:eastAsia="zh-CN"/>
        </w:rPr>
        <w:t>1．5  事故分级</w:t>
      </w:r>
      <w:bookmarkEnd w:id="7"/>
    </w:p>
    <w:p w14:paraId="7F1D1DC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按照事故灾难的可控性、严重程度和影响范围，根据国务院《生产安全事故报告和调查处理条例》及国家有关规定，冶金工贸行业事故灾难分为特别重大事故、重大事故、较大事故、一般事故。详见附件5。</w:t>
      </w:r>
    </w:p>
    <w:p w14:paraId="2978EBA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8" w:name="_Toc32667"/>
      <w:r>
        <w:rPr>
          <w:rFonts w:hint="eastAsia" w:ascii="仿宋_GB2312" w:hAnsi="仿宋_GB2312" w:eastAsia="仿宋_GB2312" w:cs="仿宋_GB2312"/>
          <w:b/>
          <w:bCs/>
          <w:sz w:val="32"/>
          <w:szCs w:val="32"/>
          <w:lang w:val="en-US" w:eastAsia="zh-CN"/>
        </w:rPr>
        <w:t>2  浑源县冶金工贸行业生产安全事故指挥体系</w:t>
      </w:r>
      <w:bookmarkEnd w:id="8"/>
    </w:p>
    <w:p w14:paraId="4CF45F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浑源县冶金工贸行业生产安全事故指挥体系由县生产安全事故应急救援指挥部及其办公室组成。</w:t>
      </w:r>
    </w:p>
    <w:p w14:paraId="135292D1">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9" w:name="_Toc24283"/>
      <w:r>
        <w:rPr>
          <w:rFonts w:hint="eastAsia" w:ascii="仿宋_GB2312" w:hAnsi="仿宋_GB2312" w:eastAsia="仿宋_GB2312" w:cs="仿宋_GB2312"/>
          <w:b/>
          <w:bCs/>
          <w:sz w:val="32"/>
          <w:szCs w:val="32"/>
          <w:lang w:val="en-US" w:eastAsia="zh-CN"/>
        </w:rPr>
        <w:t>2．1  县冶金工贸行业生产安全事故应急救援指挥部</w:t>
      </w:r>
      <w:bookmarkEnd w:id="9"/>
    </w:p>
    <w:p w14:paraId="67DEF17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指挥长：县政府分管应急工作的副县长</w:t>
      </w:r>
    </w:p>
    <w:p w14:paraId="75B01B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副指挥长：县政府办副主任，县应急局局长、县公安局分管副局长、县消防救援大队大队长。</w:t>
      </w:r>
    </w:p>
    <w:p w14:paraId="236314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成员：县委宣传部、县应急局、县工信局、县能源局、县公安局、县交通运输局、</w:t>
      </w:r>
      <w:r>
        <w:rPr>
          <w:rFonts w:hint="eastAsia" w:ascii="仿宋_GB2312" w:hAnsi="仿宋_GB2312" w:eastAsia="仿宋_GB2312" w:cs="仿宋_GB2312"/>
          <w:b w:val="0"/>
          <w:bCs w:val="0"/>
          <w:snapToGrid/>
          <w:color w:val="auto"/>
          <w:kern w:val="1"/>
          <w:sz w:val="32"/>
          <w:szCs w:val="32"/>
          <w:lang w:val="en-US" w:eastAsia="zh-CN" w:bidi="ar"/>
        </w:rPr>
        <w:t>县发展改革和科技局</w:t>
      </w:r>
      <w:r>
        <w:rPr>
          <w:rFonts w:hint="eastAsia" w:ascii="仿宋_GB2312" w:hAnsi="仿宋_GB2312" w:eastAsia="仿宋_GB2312" w:cs="仿宋_GB2312"/>
          <w:b w:val="0"/>
          <w:bCs w:val="0"/>
          <w:snapToGrid/>
          <w:color w:val="000000"/>
          <w:kern w:val="1"/>
          <w:sz w:val="32"/>
          <w:szCs w:val="32"/>
          <w:lang w:val="en-US" w:eastAsia="zh-CN" w:bidi="ar"/>
        </w:rPr>
        <w:t>、县人社局、县自然资源局、市生态环境局浑源分局、县卫体局、县财政局、县市场监管局、县水务局、县文旅局、县气象局、县消防救援大队、浑源县武装部、武警浑源中队、浑源供电公司等部门和单位分管负责人和事发地乡镇人民政府负责人组成。</w:t>
      </w:r>
    </w:p>
    <w:p w14:paraId="3AA486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县冶金工贸行业生产安全事故应急救援指挥部（以下简称县指挥部）下设办公室，办公室设在县应急局，县应急局局长兼任办公室主任。指挥部及其办公室、成员单位的组成、职责见附件2。</w:t>
      </w:r>
    </w:p>
    <w:p w14:paraId="156ADFE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0" w:name="_Toc14435"/>
      <w:r>
        <w:rPr>
          <w:rFonts w:hint="eastAsia" w:ascii="仿宋_GB2312" w:hAnsi="仿宋_GB2312" w:eastAsia="仿宋_GB2312" w:cs="仿宋_GB2312"/>
          <w:b/>
          <w:bCs/>
          <w:sz w:val="32"/>
          <w:szCs w:val="32"/>
          <w:lang w:val="en-US" w:eastAsia="zh-CN"/>
        </w:rPr>
        <w:t>2．2  分级应对</w:t>
      </w:r>
      <w:bookmarkEnd w:id="10"/>
    </w:p>
    <w:p w14:paraId="03CB24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县级指挥部负责应对一般冶金工贸行业事故。上级成立现场指挥部时，县级指挥部纳入上级指挥部并移交指挥权，继续配合做好应急处置工作。</w:t>
      </w:r>
    </w:p>
    <w:p w14:paraId="4729368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1" w:name="_Toc13408"/>
      <w:r>
        <w:rPr>
          <w:rFonts w:hint="eastAsia" w:ascii="仿宋_GB2312" w:hAnsi="仿宋_GB2312" w:eastAsia="仿宋_GB2312" w:cs="仿宋_GB2312"/>
          <w:b/>
          <w:bCs/>
          <w:sz w:val="32"/>
          <w:szCs w:val="32"/>
          <w:lang w:val="en-US" w:eastAsia="zh-CN"/>
        </w:rPr>
        <w:t>2．3  现场指挥部</w:t>
      </w:r>
      <w:bookmarkEnd w:id="11"/>
    </w:p>
    <w:p w14:paraId="0503914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现场指挥部是应对全县冶金工贸行业一般生产安全事故的主体。</w:t>
      </w:r>
    </w:p>
    <w:p w14:paraId="3B8C3E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现场指挥部设指挥长、副指挥长，下设八个组，即应急处置、综合保障、医疗救援、社会稳定、环境监测、新闻发布、善后处置和技术专家组。各组的设立及人员组成可结合实际进行调整。现场指挥部、各组构成及职责详见附件3。</w:t>
      </w:r>
    </w:p>
    <w:p w14:paraId="30EF0F8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2" w:name="_Toc7003"/>
      <w:r>
        <w:rPr>
          <w:rFonts w:hint="eastAsia" w:ascii="仿宋_GB2312" w:hAnsi="仿宋_GB2312" w:eastAsia="仿宋_GB2312" w:cs="仿宋_GB2312"/>
          <w:b/>
          <w:bCs/>
          <w:sz w:val="32"/>
          <w:szCs w:val="32"/>
          <w:lang w:val="en-US" w:eastAsia="zh-CN"/>
        </w:rPr>
        <w:t>3  风险防控</w:t>
      </w:r>
      <w:bookmarkEnd w:id="12"/>
    </w:p>
    <w:p w14:paraId="2F02DAA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应急管理部门和政府有关部门依法对冶金工贸行业生产安全风险点、危险源进行辨识、评估，制定防控措施，定期进行检查、监控。</w:t>
      </w:r>
    </w:p>
    <w:p w14:paraId="28360C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有关部门要建立生产安全事故防控制度，建立完善冶金工贸行业生产安全领域风险防控体系，严格落实冶金工贸企业事故预防主体责任，加强政府和企业隐患排查治理和风险管控双重预防机制的建设，防范化解冶金工贸行业的重大生产安全风险和隐患。</w:t>
      </w:r>
    </w:p>
    <w:p w14:paraId="4DD1850A">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3" w:name="_Toc14218"/>
      <w:r>
        <w:rPr>
          <w:rFonts w:hint="eastAsia" w:ascii="仿宋_GB2312" w:hAnsi="仿宋_GB2312" w:eastAsia="仿宋_GB2312" w:cs="仿宋_GB2312"/>
          <w:b/>
          <w:bCs/>
          <w:sz w:val="32"/>
          <w:szCs w:val="32"/>
          <w:lang w:val="en-US" w:eastAsia="zh-CN"/>
        </w:rPr>
        <w:t>4  监测与预警</w:t>
      </w:r>
      <w:bookmarkEnd w:id="13"/>
    </w:p>
    <w:p w14:paraId="2BF8378D">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4" w:name="_Toc2507"/>
      <w:r>
        <w:rPr>
          <w:rFonts w:hint="eastAsia" w:ascii="仿宋_GB2312" w:hAnsi="仿宋_GB2312" w:eastAsia="仿宋_GB2312" w:cs="仿宋_GB2312"/>
          <w:b/>
          <w:bCs/>
          <w:sz w:val="32"/>
          <w:szCs w:val="32"/>
          <w:lang w:val="en-US" w:eastAsia="zh-CN"/>
        </w:rPr>
        <w:t>4．1  监测</w:t>
      </w:r>
      <w:bookmarkEnd w:id="14"/>
    </w:p>
    <w:p w14:paraId="31AAA1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政府各主管部门要建立健全风险监测制度，完善监测网络，划分监测区域，确定监测目标，明确监测内容，提供必要的设备、设施，配备专职或兼职人员，强化对各类风险点、危险源的监测。</w:t>
      </w:r>
    </w:p>
    <w:p w14:paraId="1F74CEAE">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5" w:name="_Toc4110"/>
      <w:r>
        <w:rPr>
          <w:rFonts w:hint="eastAsia" w:ascii="仿宋_GB2312" w:hAnsi="仿宋_GB2312" w:eastAsia="仿宋_GB2312" w:cs="仿宋_GB2312"/>
          <w:b/>
          <w:bCs/>
          <w:sz w:val="32"/>
          <w:szCs w:val="32"/>
          <w:lang w:val="en-US" w:eastAsia="zh-CN"/>
        </w:rPr>
        <w:t>4．2  预警发布</w:t>
      </w:r>
      <w:bookmarkEnd w:id="15"/>
    </w:p>
    <w:p w14:paraId="0502F8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政府各主管部门要建立健全风险预警制度，指挥部办公室与县自然资源局、县水务局、县气象局、县防震减灾中心建立自然灾害预警信息通报机制，对可能引发生产安全事故的自然灾害信息及时预警。</w:t>
      </w:r>
    </w:p>
    <w:p w14:paraId="5952611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预警信息内容包括：预警区域或场所、险情类别、预警级别、预警起始时间、可能影响范围、灾情概要、有关预防预警措施及工作要求、发布机关等。</w:t>
      </w:r>
    </w:p>
    <w:p w14:paraId="52275B5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6" w:name="_Toc29151"/>
      <w:r>
        <w:rPr>
          <w:rFonts w:hint="eastAsia" w:ascii="仿宋_GB2312" w:hAnsi="仿宋_GB2312" w:eastAsia="仿宋_GB2312" w:cs="仿宋_GB2312"/>
          <w:b/>
          <w:bCs/>
          <w:sz w:val="32"/>
          <w:szCs w:val="32"/>
          <w:lang w:val="en-US" w:eastAsia="zh-CN"/>
        </w:rPr>
        <w:t>4．3  预警行动</w:t>
      </w:r>
      <w:bookmarkEnd w:id="16"/>
    </w:p>
    <w:p w14:paraId="290FFD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预警信息发布后，指挥部成员单位按照应急预案做好应急响应准备工作。指挥部办公室要密切关注事态进展，跟踪并适时调整预警级别。</w:t>
      </w:r>
    </w:p>
    <w:p w14:paraId="08B25CC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7" w:name="_Toc27532"/>
      <w:r>
        <w:rPr>
          <w:rFonts w:hint="eastAsia" w:ascii="仿宋_GB2312" w:hAnsi="仿宋_GB2312" w:eastAsia="仿宋_GB2312" w:cs="仿宋_GB2312"/>
          <w:b/>
          <w:bCs/>
          <w:sz w:val="32"/>
          <w:szCs w:val="32"/>
          <w:lang w:val="en-US" w:eastAsia="zh-CN"/>
        </w:rPr>
        <w:t>4．4  预警解除</w:t>
      </w:r>
      <w:bookmarkEnd w:id="17"/>
    </w:p>
    <w:p w14:paraId="512C5B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当安全生产风险得到有效控制时，由预警发布机关解除预警，并终止预警行动。</w:t>
      </w:r>
    </w:p>
    <w:p w14:paraId="4F14355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8" w:name="_Toc27221"/>
      <w:r>
        <w:rPr>
          <w:rFonts w:hint="eastAsia" w:ascii="仿宋_GB2312" w:hAnsi="仿宋_GB2312" w:eastAsia="仿宋_GB2312" w:cs="仿宋_GB2312"/>
          <w:b/>
          <w:bCs/>
          <w:sz w:val="32"/>
          <w:szCs w:val="32"/>
          <w:lang w:val="en-US" w:eastAsia="zh-CN"/>
        </w:rPr>
        <w:t>5  应急处置与救援</w:t>
      </w:r>
      <w:bookmarkEnd w:id="18"/>
    </w:p>
    <w:p w14:paraId="52854631">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19" w:name="_Toc3839"/>
      <w:r>
        <w:rPr>
          <w:rFonts w:hint="eastAsia" w:ascii="仿宋_GB2312" w:hAnsi="仿宋_GB2312" w:eastAsia="仿宋_GB2312" w:cs="仿宋_GB2312"/>
          <w:b/>
          <w:bCs/>
          <w:sz w:val="32"/>
          <w:szCs w:val="32"/>
          <w:lang w:val="en-US" w:eastAsia="zh-CN"/>
        </w:rPr>
        <w:t>5．1  信息报告</w:t>
      </w:r>
      <w:bookmarkEnd w:id="19"/>
    </w:p>
    <w:p w14:paraId="0702E4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冶金工贸行业生产安全事故发生后，事故发生单位负责人按照《生产安全事故报告和调查处理条例》有关规定向应急管理部门和负有安全生产监督管理职责的有关部门报告。</w:t>
      </w:r>
    </w:p>
    <w:p w14:paraId="072568B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报告事故应当包括以下内容：事故发生单位概况；事故发生的时间、地点以及事故现场情况；事故的简要经过（包括应急救援情况）；事故已经造成或者可能造成的伤亡人数（包括下落不明、涉险人数）和初步估计的直接经济损失；已经采取的措施；其他应当报告的情况。</w:t>
      </w:r>
    </w:p>
    <w:p w14:paraId="6FAD0617">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0" w:name="_Toc20641"/>
      <w:r>
        <w:rPr>
          <w:rFonts w:hint="eastAsia" w:ascii="仿宋_GB2312" w:hAnsi="仿宋_GB2312" w:eastAsia="仿宋_GB2312" w:cs="仿宋_GB2312"/>
          <w:b/>
          <w:bCs/>
          <w:sz w:val="32"/>
          <w:szCs w:val="32"/>
          <w:lang w:val="en-US" w:eastAsia="zh-CN"/>
        </w:rPr>
        <w:t>5．2  先期处置</w:t>
      </w:r>
      <w:bookmarkEnd w:id="20"/>
    </w:p>
    <w:p w14:paraId="3FAB11C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事故发生后，事故单位要立即启动本单位应急响应，在确保安全的前提下采取措施，组织救援，控制事故范围，及时疏散撤离相关人员。根据事故情况及发展态势，按照分级属地原则，县人民政府及应急管理等部门要启动相应的应急响应，迅速组织力量进行处置。</w:t>
      </w:r>
    </w:p>
    <w:p w14:paraId="5E7FB7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应急管理部门和其他负有安全生产监督管理职责的部门接到事故报告后，应当立即通知有关部门、应急救援队伍及专家迅速赶赴事故现场，采取有效措施进行先期处置，防止事态扩大或次生灾害发生；当生产安全事故扩大后，超出本级政府处置能力时，请求市应急救援指挥部办公室增援。</w:t>
      </w:r>
    </w:p>
    <w:p w14:paraId="40F8AC1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1" w:name="_Toc1225"/>
      <w:r>
        <w:rPr>
          <w:rFonts w:hint="eastAsia" w:ascii="仿宋_GB2312" w:hAnsi="仿宋_GB2312" w:eastAsia="仿宋_GB2312" w:cs="仿宋_GB2312"/>
          <w:b/>
          <w:bCs/>
          <w:sz w:val="32"/>
          <w:szCs w:val="32"/>
          <w:lang w:val="en-US" w:eastAsia="zh-CN"/>
        </w:rPr>
        <w:t>5．3  应急响应</w:t>
      </w:r>
      <w:bookmarkEnd w:id="21"/>
    </w:p>
    <w:p w14:paraId="6F930B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根据冶金工贸行业生产安全事故应急处置需要及生产安全事故的严重性和危害程度，响应设定为Ⅲ、Ⅱ、Ⅰ三个响应等级。生产安全事故发生后，依据响应条件，启动相应等级响应。各等级响应条件详见附件4。</w:t>
      </w:r>
    </w:p>
    <w:p w14:paraId="4AF54186">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5．3．1  Ⅰ级响应</w:t>
      </w:r>
    </w:p>
    <w:p w14:paraId="2F862A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符合Ⅰ级响应条件时，指挥长向应急救援总指挥部总指挥长报告，启动Ⅰ级响应。重点做好以下工作：</w:t>
      </w:r>
    </w:p>
    <w:p w14:paraId="3B8DE9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auto"/>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1．认真贯彻落实党中央、国务院和省、市、</w:t>
      </w:r>
      <w:r>
        <w:rPr>
          <w:rFonts w:hint="eastAsia" w:ascii="仿宋_GB2312" w:hAnsi="仿宋_GB2312" w:eastAsia="仿宋_GB2312" w:cs="仿宋_GB2312"/>
          <w:b w:val="0"/>
          <w:bCs w:val="0"/>
          <w:snapToGrid/>
          <w:color w:val="auto"/>
          <w:kern w:val="1"/>
          <w:sz w:val="32"/>
          <w:szCs w:val="32"/>
          <w:lang w:val="en-US" w:eastAsia="zh-CN" w:bidi="ar"/>
        </w:rPr>
        <w:t>县委、县政府领导的指示批示精神。</w:t>
      </w:r>
    </w:p>
    <w:p w14:paraId="4E1D66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2．积极配合上级指挥部工作组，认真落实相应的工作。</w:t>
      </w:r>
    </w:p>
    <w:p w14:paraId="4B93DA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3．决定冶金工贸行业生产安全事故救援其他重大事项。</w:t>
      </w:r>
    </w:p>
    <w:p w14:paraId="7418D9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4．开展事故险情会商，分析研判事故形势，研究制定应急救援方案和保障方案，并根据事故发展态势及时调整应急救援方案。</w:t>
      </w:r>
    </w:p>
    <w:p w14:paraId="2BB37F1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5．做好对周边人员、场所、重点设施排查和安全处置，防范次生灾害。</w:t>
      </w:r>
    </w:p>
    <w:p w14:paraId="427B10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6．做好环境、气象应急监测和交通、通讯、电力等应急保障工作。</w:t>
      </w:r>
    </w:p>
    <w:p w14:paraId="272D88E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7．必要时提请上级部门增派应急救援专业队伍、专家等救援力量。</w:t>
      </w:r>
    </w:p>
    <w:p w14:paraId="57486491">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5．3．2  Ⅱ、Ⅰ级响应</w:t>
      </w:r>
    </w:p>
    <w:p w14:paraId="6B10EFD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符合Ⅱ、Ⅰ级响应条件时，指挥部指挥长向上一级指挥部报告，启动Ⅱ、Ⅰ级响应。</w:t>
      </w:r>
      <w:r>
        <w:rPr>
          <w:rFonts w:hint="eastAsia" w:ascii="仿宋_GB2312" w:hAnsi="仿宋_GB2312" w:eastAsia="仿宋_GB2312" w:cs="仿宋_GB2312"/>
          <w:b w:val="0"/>
          <w:bCs w:val="0"/>
          <w:snapToGrid/>
          <w:kern w:val="1"/>
          <w:sz w:val="32"/>
          <w:szCs w:val="32"/>
          <w:lang w:val="en-US" w:eastAsia="zh-CN" w:bidi="ar"/>
        </w:rPr>
        <w:t>待省、市应急救援指挥部到达现场后，县应急救援指挥部并入省、市指挥部统一领导事故的应急救援工作。县前方指挥部，重点做好以下工作:</w:t>
      </w:r>
    </w:p>
    <w:p w14:paraId="50917D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赶赴事故现场，指导事发单位组织应对；根据需要调动各方面救援力量和物资、装备参与救援；做出决策部署，协调应急处置等各项工作；向市人民政府和市指挥部报告事故应对情况。</w:t>
      </w:r>
    </w:p>
    <w:p w14:paraId="26453E48">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2" w:name="_Toc9563"/>
      <w:r>
        <w:rPr>
          <w:rFonts w:hint="eastAsia" w:ascii="仿宋_GB2312" w:hAnsi="仿宋_GB2312" w:eastAsia="仿宋_GB2312" w:cs="仿宋_GB2312"/>
          <w:b/>
          <w:bCs/>
          <w:sz w:val="32"/>
          <w:szCs w:val="32"/>
          <w:lang w:val="en-US" w:eastAsia="zh-CN"/>
        </w:rPr>
        <w:t>5．4  响应调整</w:t>
      </w:r>
      <w:bookmarkEnd w:id="22"/>
    </w:p>
    <w:p w14:paraId="0EF8AD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当发生重大以上生产安全事故且情况极其特殊，事故超出县人民政府应对能力，总指挥部向市应急救援总指挥部报告请求增援。</w:t>
      </w:r>
    </w:p>
    <w:p w14:paraId="6F5CD90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当生产安全事故现场处于可控范围，受伤、被困人员搜救工作接近尾声，导致次生、衍生事故隐患已经查明或正在排除，生产安全事故现场应急处置工作进展顺利，可适当降低响应级别，由事发单位组织应对。</w:t>
      </w:r>
    </w:p>
    <w:p w14:paraId="1D7AF1B7">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3" w:name="_Toc21490"/>
      <w:r>
        <w:rPr>
          <w:rFonts w:hint="eastAsia" w:ascii="仿宋_GB2312" w:hAnsi="仿宋_GB2312" w:eastAsia="仿宋_GB2312" w:cs="仿宋_GB2312"/>
          <w:b/>
          <w:bCs/>
          <w:sz w:val="32"/>
          <w:szCs w:val="32"/>
          <w:lang w:val="en-US" w:eastAsia="zh-CN"/>
        </w:rPr>
        <w:t>5．5  响应结束</w:t>
      </w:r>
      <w:bookmarkEnd w:id="23"/>
    </w:p>
    <w:p w14:paraId="3B1E19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当现场指挥部根据事故现场实际情况，在冶金工贸行业生产安全事故现场得以控制，受伤、被困人员搜救工作结束，环境符合有关标准，导致次生、衍生事故隐患消除，报指挥部同意后，终止县级应急响应。指挥部安排工作组指导协调后续工作。</w:t>
      </w:r>
    </w:p>
    <w:p w14:paraId="33B8448A">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4" w:name="_Toc241"/>
      <w:r>
        <w:rPr>
          <w:rFonts w:hint="eastAsia" w:ascii="仿宋_GB2312" w:hAnsi="仿宋_GB2312" w:eastAsia="仿宋_GB2312" w:cs="仿宋_GB2312"/>
          <w:b/>
          <w:bCs/>
          <w:sz w:val="32"/>
          <w:szCs w:val="32"/>
          <w:lang w:val="en-US" w:eastAsia="zh-CN"/>
        </w:rPr>
        <w:t>6  后期处置</w:t>
      </w:r>
      <w:bookmarkEnd w:id="24"/>
    </w:p>
    <w:p w14:paraId="56DF0075">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5" w:name="_Toc21145"/>
      <w:r>
        <w:rPr>
          <w:rFonts w:hint="eastAsia" w:ascii="仿宋_GB2312" w:hAnsi="仿宋_GB2312" w:eastAsia="仿宋_GB2312" w:cs="仿宋_GB2312"/>
          <w:b/>
          <w:bCs/>
          <w:sz w:val="32"/>
          <w:szCs w:val="32"/>
          <w:lang w:val="en-US" w:eastAsia="zh-CN"/>
        </w:rPr>
        <w:t>6．1  善后处置</w:t>
      </w:r>
      <w:bookmarkEnd w:id="25"/>
    </w:p>
    <w:p w14:paraId="495412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冶金工贸行业生产安全事故的善后处置工作由县人民政府有关部门及事发单位负责组织。</w:t>
      </w:r>
    </w:p>
    <w:p w14:paraId="54CF0B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善后处置事项包括人员安置、补偿，征用物资补偿，灾后重建，污染物收集与处理等事项。尽快消除事故影响，妥善安置和慰问受灾人员，保证社会稳定，尽快恢复正常生产生活秩序。</w:t>
      </w:r>
    </w:p>
    <w:p w14:paraId="3AE36C78">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6" w:name="_Toc2790"/>
      <w:r>
        <w:rPr>
          <w:rFonts w:hint="eastAsia" w:ascii="仿宋_GB2312" w:hAnsi="仿宋_GB2312" w:eastAsia="仿宋_GB2312" w:cs="仿宋_GB2312"/>
          <w:b/>
          <w:bCs/>
          <w:sz w:val="32"/>
          <w:szCs w:val="32"/>
          <w:lang w:val="en-US" w:eastAsia="zh-CN"/>
        </w:rPr>
        <w:t>6．2  保险理赔</w:t>
      </w:r>
      <w:bookmarkEnd w:id="26"/>
    </w:p>
    <w:p w14:paraId="214DE4E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冶金工贸行业生产安全事故发生后，承保机构应及时派人开展相关保险理赔工作。</w:t>
      </w:r>
    </w:p>
    <w:p w14:paraId="2BD60220">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7" w:name="_Toc29858"/>
      <w:r>
        <w:rPr>
          <w:rFonts w:hint="eastAsia" w:ascii="仿宋_GB2312" w:hAnsi="仿宋_GB2312" w:eastAsia="仿宋_GB2312" w:cs="仿宋_GB2312"/>
          <w:b/>
          <w:bCs/>
          <w:sz w:val="32"/>
          <w:szCs w:val="32"/>
          <w:lang w:val="en-US" w:eastAsia="zh-CN"/>
        </w:rPr>
        <w:t>6．3  调查与评估</w:t>
      </w:r>
      <w:bookmarkEnd w:id="27"/>
    </w:p>
    <w:p w14:paraId="079568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snapToGrid/>
          <w:color w:val="000000"/>
          <w:kern w:val="1"/>
          <w:sz w:val="32"/>
          <w:szCs w:val="32"/>
          <w:lang w:val="en-US" w:eastAsia="zh-CN" w:bidi="ar"/>
        </w:rPr>
        <w:t>冶金工贸行业安全生产事故调查工作按照《生产安全事故报告和调查处理条例》等有关规定执行。</w:t>
      </w:r>
    </w:p>
    <w:p w14:paraId="3B92D243">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8" w:name="_Toc28722"/>
      <w:r>
        <w:rPr>
          <w:rFonts w:hint="eastAsia" w:ascii="仿宋_GB2312" w:hAnsi="仿宋_GB2312" w:eastAsia="仿宋_GB2312" w:cs="仿宋_GB2312"/>
          <w:b/>
          <w:bCs/>
          <w:sz w:val="32"/>
          <w:szCs w:val="32"/>
          <w:lang w:val="en-US" w:eastAsia="zh-CN"/>
        </w:rPr>
        <w:t>7  恢复与重建</w:t>
      </w:r>
      <w:bookmarkEnd w:id="28"/>
    </w:p>
    <w:p w14:paraId="33723A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恢复与重建工作由县人民政府负责组织。应急处置工作结束后，县政府要立即组织制定恢复重建计划，并向市政府报告。需要中央、省援助的，由市人民政府向省人民政府提出请求。</w:t>
      </w:r>
    </w:p>
    <w:p w14:paraId="3BF42DCF">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29" w:name="_Toc16681"/>
      <w:r>
        <w:rPr>
          <w:rFonts w:hint="eastAsia" w:ascii="仿宋_GB2312" w:hAnsi="仿宋_GB2312" w:eastAsia="仿宋_GB2312" w:cs="仿宋_GB2312"/>
          <w:b/>
          <w:bCs/>
          <w:sz w:val="32"/>
          <w:szCs w:val="32"/>
          <w:lang w:val="en-US" w:eastAsia="zh-CN"/>
        </w:rPr>
        <w:t>8  保障措施</w:t>
      </w:r>
      <w:bookmarkEnd w:id="29"/>
    </w:p>
    <w:p w14:paraId="359FC0D4">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0" w:name="_Toc31101"/>
      <w:r>
        <w:rPr>
          <w:rFonts w:hint="eastAsia" w:ascii="仿宋_GB2312" w:hAnsi="仿宋_GB2312" w:eastAsia="仿宋_GB2312" w:cs="仿宋_GB2312"/>
          <w:b/>
          <w:bCs/>
          <w:sz w:val="32"/>
          <w:szCs w:val="32"/>
          <w:lang w:val="en-US" w:eastAsia="zh-CN"/>
        </w:rPr>
        <w:t>8．1  通信保障</w:t>
      </w:r>
      <w:bookmarkEnd w:id="30"/>
    </w:p>
    <w:p w14:paraId="7B0B81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指挥部成员和有关单位要确定专人负责，确保通信联络畅通，调度值班电话应24小时有人值守。</w:t>
      </w:r>
    </w:p>
    <w:p w14:paraId="4724DC6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1" w:name="_Toc11335"/>
      <w:r>
        <w:rPr>
          <w:rFonts w:hint="eastAsia" w:ascii="仿宋_GB2312" w:hAnsi="仿宋_GB2312" w:eastAsia="仿宋_GB2312" w:cs="仿宋_GB2312"/>
          <w:b/>
          <w:bCs/>
          <w:sz w:val="32"/>
          <w:szCs w:val="32"/>
          <w:lang w:val="en-US" w:eastAsia="zh-CN"/>
        </w:rPr>
        <w:t>8．2  应急队伍保障</w:t>
      </w:r>
      <w:bookmarkEnd w:id="31"/>
    </w:p>
    <w:p w14:paraId="33E0B0E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指挥部成员单位要加强应急抢险队伍建设，确保应急处置工作的需求。</w:t>
      </w:r>
    </w:p>
    <w:p w14:paraId="571B438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2" w:name="_Toc10310"/>
      <w:r>
        <w:rPr>
          <w:rFonts w:hint="eastAsia" w:ascii="仿宋_GB2312" w:hAnsi="仿宋_GB2312" w:eastAsia="仿宋_GB2312" w:cs="仿宋_GB2312"/>
          <w:b/>
          <w:bCs/>
          <w:sz w:val="32"/>
          <w:szCs w:val="32"/>
          <w:lang w:val="en-US" w:eastAsia="zh-CN"/>
        </w:rPr>
        <w:t>8．3  经费保障</w:t>
      </w:r>
      <w:bookmarkEnd w:id="32"/>
    </w:p>
    <w:p w14:paraId="75BDD4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冶金工贸行业生产事故应急救援、调查处理和伤亡赔偿的费用，按有关规定执行。需由财政负担的生产安全事故应急救援资金，按照现行财权、事权划分的原则分级负担。</w:t>
      </w:r>
    </w:p>
    <w:p w14:paraId="65BAA4CA">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3" w:name="_Toc16417"/>
      <w:r>
        <w:rPr>
          <w:rFonts w:hint="eastAsia" w:ascii="仿宋_GB2312" w:hAnsi="仿宋_GB2312" w:eastAsia="仿宋_GB2312" w:cs="仿宋_GB2312"/>
          <w:b/>
          <w:bCs/>
          <w:sz w:val="32"/>
          <w:szCs w:val="32"/>
          <w:lang w:val="en-US" w:eastAsia="zh-CN"/>
        </w:rPr>
        <w:t>8．4  治安保障</w:t>
      </w:r>
      <w:bookmarkEnd w:id="33"/>
    </w:p>
    <w:p w14:paraId="4A9CF2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县公安局和事发地乡镇人民政府组织事故现场治安警戒和治安管理，加强对重点地区、重点场所、重点人群、重要物资设备的防范保护。</w:t>
      </w:r>
    </w:p>
    <w:p w14:paraId="562658A7">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4" w:name="_Toc14907"/>
      <w:r>
        <w:rPr>
          <w:rFonts w:hint="eastAsia" w:ascii="仿宋_GB2312" w:hAnsi="仿宋_GB2312" w:eastAsia="仿宋_GB2312" w:cs="仿宋_GB2312"/>
          <w:b/>
          <w:bCs/>
          <w:sz w:val="32"/>
          <w:szCs w:val="32"/>
          <w:lang w:val="en-US" w:eastAsia="zh-CN"/>
        </w:rPr>
        <w:t>8．5  物资、装备保障</w:t>
      </w:r>
      <w:bookmarkEnd w:id="34"/>
    </w:p>
    <w:p w14:paraId="5A50E00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县人民政府及各有关部门要根据本地区、本单位生产安全事故救援的需要和特点，储备必要的应急救援物资和装备。</w:t>
      </w:r>
    </w:p>
    <w:p w14:paraId="1067D104">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5" w:name="_Toc5983"/>
      <w:r>
        <w:rPr>
          <w:rFonts w:hint="eastAsia" w:ascii="仿宋_GB2312" w:hAnsi="仿宋_GB2312" w:eastAsia="仿宋_GB2312" w:cs="仿宋_GB2312"/>
          <w:b/>
          <w:bCs/>
          <w:sz w:val="32"/>
          <w:szCs w:val="32"/>
          <w:lang w:val="en-US" w:eastAsia="zh-CN"/>
        </w:rPr>
        <w:t>8．6  交通运输保障</w:t>
      </w:r>
      <w:bookmarkEnd w:id="35"/>
    </w:p>
    <w:p w14:paraId="3B4CCB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公安、交通等部门负责应急救援的交通保障，组织开通“绿色通道”，负责交通工具的征调，确保应急救援物资、器材和人员的输送安全。</w:t>
      </w:r>
    </w:p>
    <w:p w14:paraId="5814E39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6" w:name="_Toc31875"/>
      <w:r>
        <w:rPr>
          <w:rFonts w:hint="eastAsia" w:ascii="仿宋_GB2312" w:hAnsi="仿宋_GB2312" w:eastAsia="仿宋_GB2312" w:cs="仿宋_GB2312"/>
          <w:b/>
          <w:bCs/>
          <w:sz w:val="32"/>
          <w:szCs w:val="32"/>
          <w:lang w:val="en-US" w:eastAsia="zh-CN"/>
        </w:rPr>
        <w:t>8．7  医疗保障</w:t>
      </w:r>
      <w:bookmarkEnd w:id="36"/>
    </w:p>
    <w:p w14:paraId="4BB1BA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val="0"/>
          <w:bCs w:val="0"/>
          <w:snapToGrid/>
          <w:color w:val="000000"/>
          <w:kern w:val="1"/>
          <w:sz w:val="32"/>
          <w:szCs w:val="32"/>
          <w:lang w:val="en-US" w:eastAsia="zh-CN" w:bidi="ar"/>
        </w:rPr>
        <w:t>卫体等部门负责应急救援的医疗保障，制定救护方案，抢救伤员；协调各医院对事故现场中受伤人员及时进行救治；协调血站、防疫部门做好受伤人员的供血和防疫工作。</w:t>
      </w:r>
    </w:p>
    <w:p w14:paraId="5DA7E37E">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7" w:name="_Toc25381"/>
      <w:r>
        <w:rPr>
          <w:rFonts w:hint="eastAsia" w:ascii="仿宋_GB2312" w:hAnsi="仿宋_GB2312" w:eastAsia="仿宋_GB2312" w:cs="仿宋_GB2312"/>
          <w:b/>
          <w:bCs/>
          <w:sz w:val="32"/>
          <w:szCs w:val="32"/>
          <w:lang w:val="en-US" w:eastAsia="zh-CN"/>
        </w:rPr>
        <w:t>9  宣传、培训和演练</w:t>
      </w:r>
      <w:bookmarkEnd w:id="37"/>
    </w:p>
    <w:p w14:paraId="0E0832C2">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8" w:name="_Toc23726"/>
      <w:r>
        <w:rPr>
          <w:rFonts w:hint="eastAsia" w:ascii="仿宋_GB2312" w:hAnsi="仿宋_GB2312" w:eastAsia="仿宋_GB2312" w:cs="仿宋_GB2312"/>
          <w:b/>
          <w:bCs/>
          <w:sz w:val="32"/>
          <w:szCs w:val="32"/>
          <w:lang w:val="en-US" w:eastAsia="zh-CN"/>
        </w:rPr>
        <w:t>9．1  宣传</w:t>
      </w:r>
      <w:bookmarkEnd w:id="38"/>
    </w:p>
    <w:p w14:paraId="0AEEEF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指挥部各有关成员单位应当采取多种形式向公众及冶金工贸行业生产经营单位员工宣传安全生产事故预防、避险、自救、互救及应急救援有关法律法规等常识。</w:t>
      </w:r>
    </w:p>
    <w:p w14:paraId="6216498E">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39" w:name="_Toc3448"/>
      <w:r>
        <w:rPr>
          <w:rFonts w:hint="eastAsia" w:ascii="仿宋_GB2312" w:hAnsi="仿宋_GB2312" w:eastAsia="仿宋_GB2312" w:cs="仿宋_GB2312"/>
          <w:b/>
          <w:bCs/>
          <w:sz w:val="32"/>
          <w:szCs w:val="32"/>
          <w:lang w:val="en-US" w:eastAsia="zh-CN"/>
        </w:rPr>
        <w:t>9．2  培训</w:t>
      </w:r>
      <w:bookmarkEnd w:id="39"/>
    </w:p>
    <w:p w14:paraId="72ACE9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指挥部各有关成员单位和生产经营单位要制订生产安全事故应急救援及管理人员培训计划，提高应急处置能力。</w:t>
      </w:r>
    </w:p>
    <w:p w14:paraId="081BC183">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0" w:name="_Toc29142"/>
      <w:r>
        <w:rPr>
          <w:rFonts w:hint="eastAsia" w:ascii="仿宋_GB2312" w:hAnsi="仿宋_GB2312" w:eastAsia="仿宋_GB2312" w:cs="仿宋_GB2312"/>
          <w:b/>
          <w:bCs/>
          <w:sz w:val="32"/>
          <w:szCs w:val="32"/>
          <w:lang w:val="en-US" w:eastAsia="zh-CN"/>
        </w:rPr>
        <w:t>9．3  演练</w:t>
      </w:r>
      <w:bookmarkEnd w:id="40"/>
    </w:p>
    <w:p w14:paraId="5C9E41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val="0"/>
          <w:bCs w:val="0"/>
          <w:snapToGrid/>
          <w:color w:val="000000"/>
          <w:kern w:val="1"/>
          <w:sz w:val="32"/>
          <w:szCs w:val="32"/>
          <w:lang w:val="en-US" w:eastAsia="zh-CN" w:bidi="ar"/>
        </w:rPr>
        <w:t>指挥部办公室按相关规定会同有关部门和县人民政府按有关规定组织开展应急预案演练，提高防范和处置能力。</w:t>
      </w:r>
    </w:p>
    <w:p w14:paraId="30E8674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1" w:name="_Toc13242"/>
      <w:r>
        <w:rPr>
          <w:rFonts w:hint="eastAsia" w:ascii="仿宋_GB2312" w:hAnsi="仿宋_GB2312" w:eastAsia="仿宋_GB2312" w:cs="仿宋_GB2312"/>
          <w:b/>
          <w:bCs/>
          <w:sz w:val="32"/>
          <w:szCs w:val="32"/>
          <w:lang w:val="en-US" w:eastAsia="zh-CN"/>
        </w:rPr>
        <w:t>10  附则</w:t>
      </w:r>
      <w:bookmarkEnd w:id="41"/>
    </w:p>
    <w:p w14:paraId="7FDEA1C9">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2" w:name="_Toc26500"/>
      <w:r>
        <w:rPr>
          <w:rFonts w:hint="eastAsia" w:ascii="仿宋_GB2312" w:hAnsi="仿宋_GB2312" w:eastAsia="仿宋_GB2312" w:cs="仿宋_GB2312"/>
          <w:b/>
          <w:bCs/>
          <w:sz w:val="32"/>
          <w:szCs w:val="32"/>
          <w:lang w:val="en-US" w:eastAsia="zh-CN"/>
        </w:rPr>
        <w:t>10.1  预案制定</w:t>
      </w:r>
      <w:bookmarkEnd w:id="42"/>
    </w:p>
    <w:p w14:paraId="7DFD72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本预案由县应急局起草，报县人民政府批准后组织实施。</w:t>
      </w:r>
    </w:p>
    <w:p w14:paraId="47A37C11">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3" w:name="_Toc19579"/>
      <w:r>
        <w:rPr>
          <w:rFonts w:hint="eastAsia" w:ascii="仿宋_GB2312" w:hAnsi="仿宋_GB2312" w:eastAsia="仿宋_GB2312" w:cs="仿宋_GB2312"/>
          <w:b/>
          <w:bCs/>
          <w:sz w:val="32"/>
          <w:szCs w:val="32"/>
          <w:lang w:val="en-US" w:eastAsia="zh-CN"/>
        </w:rPr>
        <w:t>10.2  预案更新</w:t>
      </w:r>
      <w:bookmarkEnd w:id="43"/>
    </w:p>
    <w:p w14:paraId="17B9E2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本预案按规定评估修订，县应急局根据需要及时组织评估，向县人民政府提出修订意见。</w:t>
      </w:r>
    </w:p>
    <w:p w14:paraId="6AA2757B">
      <w:pPr>
        <w:keepNext w:val="0"/>
        <w:keepLines w:val="0"/>
        <w:pageBreakBefore w:val="0"/>
        <w:widowControl w:val="0"/>
        <w:shd w:val="clear"/>
        <w:kinsoku/>
        <w:wordWrap/>
        <w:overflowPunct/>
        <w:topLinePunct w:val="0"/>
        <w:autoSpaceDE/>
        <w:autoSpaceDN/>
        <w:bidi w:val="0"/>
        <w:spacing w:before="0" w:beforeAutospacing="0" w:after="0" w:afterAutospacing="0"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bookmarkStart w:id="44" w:name="_Toc5765"/>
      <w:r>
        <w:rPr>
          <w:rFonts w:hint="eastAsia" w:ascii="仿宋_GB2312" w:hAnsi="仿宋_GB2312" w:eastAsia="仿宋_GB2312" w:cs="仿宋_GB2312"/>
          <w:b/>
          <w:bCs/>
          <w:sz w:val="32"/>
          <w:szCs w:val="32"/>
          <w:lang w:val="en-US" w:eastAsia="zh-CN"/>
        </w:rPr>
        <w:t>10.3  预案解释</w:t>
      </w:r>
      <w:bookmarkEnd w:id="44"/>
    </w:p>
    <w:p w14:paraId="59DA4D4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t>本预案由县应急局负责解释，自发布之日起实施。</w:t>
      </w:r>
    </w:p>
    <w:p w14:paraId="250F6C5F">
      <w:pPr>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br w:type="page"/>
      </w:r>
    </w:p>
    <w:p w14:paraId="460DF1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附件：1.浑源县冶金工贸行业事故应急响应流程图</w:t>
      </w:r>
    </w:p>
    <w:p w14:paraId="1969AC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960" w:firstLineChars="3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2.浑源县冶金工贸行业生产安全事故指挥部</w:t>
      </w:r>
    </w:p>
    <w:p w14:paraId="76B877E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960" w:firstLineChars="3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3.浑源县冶金工贸行业生产安全事故现场指挥部</w:t>
      </w:r>
    </w:p>
    <w:p w14:paraId="012A03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960" w:firstLineChars="3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4.浑源县冶金工贸行业生产安全事故应急响应条件</w:t>
      </w:r>
    </w:p>
    <w:p w14:paraId="26155AB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960" w:firstLineChars="300"/>
        <w:jc w:val="both"/>
        <w:textAlignment w:val="auto"/>
        <w:outlineLvl w:val="9"/>
        <w:rPr>
          <w:rFonts w:hint="eastAsia" w:ascii="仿宋_GB2312" w:hAnsi="仿宋_GB2312" w:eastAsia="仿宋_GB2312" w:cs="仿宋_GB2312"/>
          <w:b w:val="0"/>
          <w:bCs w:val="0"/>
          <w:color w:val="auto"/>
          <w:kern w:val="1"/>
          <w:sz w:val="32"/>
          <w:szCs w:val="32"/>
          <w:lang w:val="en-US" w:eastAsia="zh-CN" w:bidi="ar"/>
        </w:rPr>
      </w:pPr>
      <w:r>
        <w:rPr>
          <w:rFonts w:hint="eastAsia" w:ascii="仿宋_GB2312" w:hAnsi="仿宋_GB2312" w:eastAsia="仿宋_GB2312" w:cs="仿宋_GB2312"/>
          <w:b w:val="0"/>
          <w:bCs w:val="0"/>
          <w:color w:val="auto"/>
          <w:kern w:val="1"/>
          <w:sz w:val="32"/>
          <w:szCs w:val="32"/>
          <w:lang w:val="en-US" w:eastAsia="zh-CN" w:bidi="ar"/>
        </w:rPr>
        <w:t>5.浑源县冶金工贸行业生产安全事故等级划分</w:t>
      </w:r>
    </w:p>
    <w:p w14:paraId="6BB783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960" w:firstLineChars="300"/>
        <w:jc w:val="both"/>
        <w:textAlignment w:val="auto"/>
        <w:outlineLvl w:val="9"/>
        <w:rPr>
          <w:rFonts w:hint="default"/>
          <w:lang w:val="en-US" w:eastAsia="zh-CN"/>
        </w:rPr>
      </w:pPr>
      <w:r>
        <w:rPr>
          <w:rFonts w:hint="eastAsia" w:ascii="仿宋_GB2312" w:hAnsi="仿宋_GB2312" w:eastAsia="仿宋_GB2312" w:cs="仿宋_GB2312"/>
          <w:b w:val="0"/>
          <w:bCs w:val="0"/>
          <w:color w:val="auto"/>
          <w:kern w:val="1"/>
          <w:sz w:val="32"/>
          <w:szCs w:val="32"/>
          <w:lang w:val="en-US" w:eastAsia="zh-CN" w:bidi="ar"/>
        </w:rPr>
        <w:t>6.浑源县冶金工贸行业生产安全事故类型</w:t>
      </w:r>
    </w:p>
    <w:p w14:paraId="6F301AC8">
      <w:pPr>
        <w:shd w:val="clear"/>
        <w:rPr>
          <w:rFonts w:hint="eastAsia" w:ascii="仿宋_GB2312" w:hAnsi="仿宋_GB2312" w:eastAsia="仿宋_GB2312" w:cs="仿宋_GB2312"/>
          <w:b w:val="0"/>
          <w:bCs w:val="0"/>
          <w:snapToGrid/>
          <w:color w:val="000000"/>
          <w:kern w:val="1"/>
          <w:sz w:val="32"/>
          <w:szCs w:val="32"/>
          <w:lang w:val="en-US" w:eastAsia="zh-CN" w:bidi="ar"/>
        </w:rPr>
      </w:pPr>
      <w:r>
        <w:rPr>
          <w:rFonts w:hint="eastAsia" w:ascii="仿宋_GB2312" w:hAnsi="仿宋_GB2312" w:eastAsia="仿宋_GB2312" w:cs="仿宋_GB2312"/>
          <w:b w:val="0"/>
          <w:bCs w:val="0"/>
          <w:snapToGrid/>
          <w:color w:val="000000"/>
          <w:kern w:val="1"/>
          <w:sz w:val="32"/>
          <w:szCs w:val="32"/>
          <w:lang w:val="en-US" w:eastAsia="zh-CN" w:bidi="ar"/>
        </w:rPr>
        <w:br w:type="page"/>
      </w:r>
    </w:p>
    <w:p w14:paraId="2EA1CE84">
      <w:pPr>
        <w:shd w:val="clear"/>
        <w:spacing w:before="100" w:line="230" w:lineRule="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附件1</w:t>
      </w:r>
    </w:p>
    <w:p w14:paraId="0C453AE2">
      <w:pPr>
        <w:shd w:val="clear"/>
        <w:spacing w:before="100" w:line="230" w:lineRule="auto"/>
        <w:ind w:firstLine="418" w:firstLineChars="100"/>
        <w:rPr>
          <w:rFonts w:ascii="黑体" w:hAnsi="黑体" w:eastAsia="黑体" w:cs="黑体"/>
          <w:sz w:val="40"/>
          <w:szCs w:val="40"/>
        </w:rPr>
      </w:pPr>
      <w:r>
        <w:rPr>
          <w:rFonts w:hint="eastAsia" w:ascii="黑体" w:hAnsi="黑体" w:eastAsia="黑体" w:cs="黑体"/>
          <w:spacing w:val="9"/>
          <w:sz w:val="40"/>
          <w:szCs w:val="40"/>
          <w:lang w:eastAsia="zh-CN"/>
        </w:rPr>
        <w:t>浑源县</w:t>
      </w:r>
      <w:r>
        <w:rPr>
          <w:rFonts w:ascii="黑体" w:hAnsi="黑体" w:eastAsia="黑体" w:cs="黑体"/>
          <w:spacing w:val="9"/>
          <w:sz w:val="40"/>
          <w:szCs w:val="40"/>
        </w:rPr>
        <w:t>冶金工贸行业事故应急响应流程图</w:t>
      </w:r>
    </w:p>
    <w:p w14:paraId="4BCF5549">
      <w:pPr>
        <w:keepNext w:val="0"/>
        <w:keepLines w:val="0"/>
        <w:pageBreakBefore w:val="0"/>
        <w:shd w:val="clear"/>
        <w:kinsoku/>
        <w:wordWrap/>
        <w:overflowPunct/>
        <w:topLinePunct w:val="0"/>
        <w:autoSpaceDE/>
        <w:autoSpaceDN/>
        <w:bidi w:val="0"/>
        <w:adjustRightInd/>
        <w:snapToGrid/>
        <w:textAlignment w:val="auto"/>
        <w:rPr>
          <w:rFonts w:hint="eastAsia" w:ascii="宋体" w:hAnsi="宋体" w:eastAsia="宋体" w:cs="宋体"/>
          <w:sz w:val="32"/>
          <w:szCs w:val="32"/>
        </w:rPr>
      </w:pPr>
    </w:p>
    <w:p w14:paraId="1DA8F8F4">
      <w:pPr>
        <w:shd w:val="clear"/>
        <w:bidi w:val="0"/>
        <w:rPr>
          <w:rFonts w:hint="eastAsia" w:asciiTheme="minorHAnsi" w:hAnsiTheme="minorHAnsi" w:eastAsiaTheme="minorEastAsia" w:cstheme="minorBidi"/>
          <w:b w:val="0"/>
          <w:bCs w:val="0"/>
          <w:kern w:val="2"/>
          <w:sz w:val="21"/>
          <w:szCs w:val="24"/>
          <w:lang w:val="en-US" w:eastAsia="zh-CN" w:bidi="ar-SA"/>
        </w:rPr>
      </w:pPr>
    </w:p>
    <w:p w14:paraId="4EE458B8">
      <w:pPr>
        <w:shd w:val="clear"/>
        <w:bidi w:val="0"/>
        <w:rPr>
          <w:rFonts w:hint="eastAsia"/>
          <w:b w:val="0"/>
          <w:bCs w:val="0"/>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-80645</wp:posOffset>
                </wp:positionH>
                <wp:positionV relativeFrom="paragraph">
                  <wp:posOffset>38735</wp:posOffset>
                </wp:positionV>
                <wp:extent cx="5501005" cy="5949315"/>
                <wp:effectExtent l="5080" t="4445" r="18415" b="8890"/>
                <wp:wrapNone/>
                <wp:docPr id="663" name="组合 663"/>
                <wp:cNvGraphicFramePr/>
                <a:graphic xmlns:a="http://schemas.openxmlformats.org/drawingml/2006/main">
                  <a:graphicData uri="http://schemas.microsoft.com/office/word/2010/wordprocessingGroup">
                    <wpg:wgp>
                      <wpg:cNvGrpSpPr/>
                      <wpg:grpSpPr>
                        <a:xfrm>
                          <a:off x="0" y="0"/>
                          <a:ext cx="5501005" cy="5949315"/>
                          <a:chOff x="5501" y="209360"/>
                          <a:chExt cx="8663" cy="9369"/>
                        </a:xfrm>
                      </wpg:grpSpPr>
                      <wps:wsp>
                        <wps:cNvPr id="649" name="文本框 649"/>
                        <wps:cNvSpPr txBox="1"/>
                        <wps:spPr>
                          <a:xfrm>
                            <a:off x="12240" y="211950"/>
                            <a:ext cx="1924" cy="39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A63FB4">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救援力量赶赴现场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8589" y="210190"/>
                            <a:ext cx="2110" cy="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23B446">
                              <w:pPr>
                                <w:jc w:val="center"/>
                                <w:rPr>
                                  <w:rFonts w:hint="eastAsia"/>
                                  <w:b/>
                                  <w:bCs/>
                                  <w:lang w:eastAsia="zh-CN"/>
                                </w:rPr>
                              </w:pPr>
                              <w:r>
                                <w:rPr>
                                  <w:rFonts w:hint="eastAsia"/>
                                  <w:b/>
                                  <w:bCs/>
                                  <w:lang w:eastAsia="zh-CN"/>
                                </w:rPr>
                                <w:t>信息接受与处理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8844" y="211103"/>
                            <a:ext cx="1371" cy="7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D64516">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指挥部办公室分析研判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5501" y="211329"/>
                            <a:ext cx="1552" cy="6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E70650A">
                              <w:pPr>
                                <w:jc w:val="center"/>
                                <w:rPr>
                                  <w:rFonts w:hint="eastAsia" w:ascii="方正楷体_GBK" w:hAnsi="方正楷体_GBK" w:eastAsia="方正楷体_GBK" w:cs="方正楷体_GBK"/>
                                  <w:b/>
                                  <w:bCs/>
                                  <w:sz w:val="24"/>
                                  <w:szCs w:val="32"/>
                                  <w:lang w:eastAsia="zh-CN"/>
                                </w:rPr>
                              </w:pPr>
                              <w:r>
                                <w:rPr>
                                  <w:rFonts w:hint="eastAsia" w:ascii="方正楷体_GBK" w:hAnsi="方正楷体_GBK" w:eastAsia="方正楷体_GBK" w:cs="方正楷体_GBK"/>
                                  <w:b/>
                                  <w:bCs/>
                                  <w:sz w:val="24"/>
                                  <w:szCs w:val="32"/>
                                  <w:lang w:eastAsia="zh-CN"/>
                                </w:rPr>
                                <w:t>三级响应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5525" y="216064"/>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101983">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采取响应措施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8751" y="213917"/>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056A5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现场指挥部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8761" y="212243"/>
                            <a:ext cx="1552" cy="4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6CE02A">
                              <w:pPr>
                                <w:rPr>
                                  <w:rFonts w:hint="eastAsia" w:eastAsiaTheme="minorEastAsia"/>
                                  <w:lang w:eastAsia="zh-CN"/>
                                </w:rPr>
                              </w:pPr>
                              <w:r>
                                <w:rPr>
                                  <w:rFonts w:hint="eastAsia" w:ascii="方正楷体_GBK" w:hAnsi="方正楷体_GBK" w:eastAsia="方正楷体_GBK" w:cs="方正楷体_GBK"/>
                                  <w:b/>
                                  <w:bCs/>
                                  <w:lang w:eastAsia="zh-CN"/>
                                </w:rPr>
                                <w:t>二级响应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上箭头 9"/>
                        <wps:cNvSpPr/>
                        <wps:spPr>
                          <a:xfrm>
                            <a:off x="9310" y="209825"/>
                            <a:ext cx="428" cy="343"/>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下箭头 10"/>
                        <wps:cNvSpPr/>
                        <wps:spPr>
                          <a:xfrm>
                            <a:off x="9321" y="210722"/>
                            <a:ext cx="471" cy="364"/>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8857" y="217465"/>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01CCA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1888" y="212637"/>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3536A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综合组保障组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2419" y="210788"/>
                            <a:ext cx="1586" cy="7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325C9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指挥部领导和专家赶赴现场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1869" y="213140"/>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CC282F">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应急处置组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8905" y="218303"/>
                            <a:ext cx="1575" cy="4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3130B4">
                              <w:pPr>
                                <w:ind w:firstLine="210" w:firstLine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后期处置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8667" y="214865"/>
                            <a:ext cx="1839" cy="6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D65114">
                              <w:pPr>
                                <w:ind w:left="420" w:leftChars="100" w:hanging="210" w:hanging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指挥协调应</w:t>
                              </w:r>
                            </w:p>
                            <w:p w14:paraId="60ED7E3D">
                              <w:pPr>
                                <w:ind w:left="420" w:leftChars="200" w:firstLine="0" w:firstLineChars="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急处置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8794" y="216069"/>
                            <a:ext cx="1681"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D15123">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救援结束，符合响应结束条件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1895" y="213690"/>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94AE1B">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技术专家组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1890" y="214218"/>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351C9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医疗救援组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11873" y="215337"/>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BB12E3">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新闻发布组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1873" y="215913"/>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63B15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环境监测组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1898" y="214796"/>
                            <a:ext cx="1575" cy="3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DAED3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社会稳定组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1935" y="216445"/>
                            <a:ext cx="1490"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E86B3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善后处置组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直接箭头连接符 27"/>
                        <wps:cNvCnPr/>
                        <wps:spPr>
                          <a:xfrm flipH="1">
                            <a:off x="7053" y="211571"/>
                            <a:ext cx="1754" cy="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肘形连接符 28"/>
                        <wps:cNvCnPr/>
                        <wps:spPr>
                          <a:xfrm>
                            <a:off x="7137" y="211906"/>
                            <a:ext cx="1189" cy="1050"/>
                          </a:xfrm>
                          <a:prstGeom prst="bentConnector3">
                            <a:avLst>
                              <a:gd name="adj1" fmla="val 50042"/>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9" name="直接箭头连接符 29"/>
                        <wps:cNvCnPr>
                          <a:stCxn id="4" idx="2"/>
                          <a:endCxn id="5" idx="0"/>
                        </wps:cNvCnPr>
                        <wps:spPr>
                          <a:xfrm>
                            <a:off x="6277" y="211961"/>
                            <a:ext cx="36" cy="410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0" name="肘形连接符 30"/>
                        <wps:cNvCnPr/>
                        <wps:spPr>
                          <a:xfrm rot="5400000" flipV="1">
                            <a:off x="6942" y="215851"/>
                            <a:ext cx="1225" cy="2482"/>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直接连接符 33"/>
                        <wps:cNvCnPr/>
                        <wps:spPr>
                          <a:xfrm flipH="1">
                            <a:off x="11096" y="212832"/>
                            <a:ext cx="2" cy="3817"/>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接箭头连接符 44"/>
                        <wps:cNvCnPr/>
                        <wps:spPr>
                          <a:xfrm flipV="1">
                            <a:off x="10357" y="214125"/>
                            <a:ext cx="722" cy="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7" name="直接连接符 47"/>
                        <wps:cNvCnPr/>
                        <wps:spPr>
                          <a:xfrm>
                            <a:off x="11099" y="212825"/>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48" name="直接连接符 48"/>
                        <wps:cNvCnPr/>
                        <wps:spPr>
                          <a:xfrm>
                            <a:off x="11092" y="213355"/>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接连接符 49"/>
                        <wps:cNvCnPr/>
                        <wps:spPr>
                          <a:xfrm>
                            <a:off x="11103" y="213880"/>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0" name="直接连接符 50"/>
                        <wps:cNvCnPr/>
                        <wps:spPr>
                          <a:xfrm>
                            <a:off x="11092" y="214405"/>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接连接符 51"/>
                        <wps:cNvCnPr/>
                        <wps:spPr>
                          <a:xfrm>
                            <a:off x="11086" y="214999"/>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直接连接符 52"/>
                        <wps:cNvCnPr/>
                        <wps:spPr>
                          <a:xfrm>
                            <a:off x="11090" y="215528"/>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3" name="直接连接符 53"/>
                        <wps:cNvCnPr/>
                        <wps:spPr>
                          <a:xfrm>
                            <a:off x="11084" y="216100"/>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连接符 59"/>
                        <wps:cNvCnPr/>
                        <wps:spPr>
                          <a:xfrm>
                            <a:off x="11111" y="216630"/>
                            <a:ext cx="780" cy="9"/>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接箭头连接符 61"/>
                        <wps:cNvCnPr/>
                        <wps:spPr>
                          <a:xfrm flipH="1">
                            <a:off x="9430" y="213528"/>
                            <a:ext cx="9" cy="4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直接箭头连接符 64"/>
                        <wps:cNvCnPr/>
                        <wps:spPr>
                          <a:xfrm>
                            <a:off x="9589" y="216980"/>
                            <a:ext cx="15" cy="52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 name="直接箭头连接符 66"/>
                        <wps:cNvCnPr/>
                        <wps:spPr>
                          <a:xfrm>
                            <a:off x="9527" y="215561"/>
                            <a:ext cx="17" cy="55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7" name="直接箭头连接符 67"/>
                        <wps:cNvCnPr/>
                        <wps:spPr>
                          <a:xfrm>
                            <a:off x="9578" y="217867"/>
                            <a:ext cx="10" cy="429"/>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文本框 8"/>
                        <wps:cNvSpPr txBox="1"/>
                        <wps:spPr>
                          <a:xfrm>
                            <a:off x="8784" y="213133"/>
                            <a:ext cx="1542"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2DD39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一级响应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上下箭头 26"/>
                        <wps:cNvSpPr/>
                        <wps:spPr>
                          <a:xfrm>
                            <a:off x="9370" y="212676"/>
                            <a:ext cx="291" cy="451"/>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肘形连接符 32"/>
                        <wps:cNvCnPr/>
                        <wps:spPr>
                          <a:xfrm rot="10800000" flipH="1" flipV="1">
                            <a:off x="8728" y="212386"/>
                            <a:ext cx="27" cy="873"/>
                          </a:xfrm>
                          <a:prstGeom prst="bentConnector3">
                            <a:avLst>
                              <a:gd name="adj1" fmla="val -1388889"/>
                            </a:avLst>
                          </a:prstGeom>
                        </wps:spPr>
                        <wps:style>
                          <a:lnRef idx="1">
                            <a:schemeClr val="dk1"/>
                          </a:lnRef>
                          <a:fillRef idx="0">
                            <a:schemeClr val="dk1"/>
                          </a:fillRef>
                          <a:effectRef idx="0">
                            <a:schemeClr val="dk1"/>
                          </a:effectRef>
                          <a:fontRef idx="minor">
                            <a:schemeClr val="tx1"/>
                          </a:fontRef>
                        </wps:style>
                        <wps:bodyPr/>
                      </wps:wsp>
                      <wps:wsp>
                        <wps:cNvPr id="650" name="肘形连接符 650"/>
                        <wps:cNvCnPr/>
                        <wps:spPr>
                          <a:xfrm rot="10800000" flipV="1">
                            <a:off x="12233" y="211141"/>
                            <a:ext cx="156" cy="1041"/>
                          </a:xfrm>
                          <a:prstGeom prst="bentConnector3">
                            <a:avLst>
                              <a:gd name="adj1" fmla="val 340385"/>
                            </a:avLst>
                          </a:prstGeom>
                        </wps:spPr>
                        <wps:style>
                          <a:lnRef idx="1">
                            <a:schemeClr val="dk1"/>
                          </a:lnRef>
                          <a:fillRef idx="0">
                            <a:schemeClr val="dk1"/>
                          </a:fillRef>
                          <a:effectRef idx="0">
                            <a:schemeClr val="dk1"/>
                          </a:effectRef>
                          <a:fontRef idx="minor">
                            <a:schemeClr val="tx1"/>
                          </a:fontRef>
                        </wps:style>
                        <wps:bodyPr/>
                      </wps:wsp>
                      <wps:wsp>
                        <wps:cNvPr id="652" name="肘形连接符 652"/>
                        <wps:cNvCnPr>
                          <a:stCxn id="7" idx="3"/>
                          <a:endCxn id="8" idx="3"/>
                        </wps:cNvCnPr>
                        <wps:spPr>
                          <a:xfrm>
                            <a:off x="10313" y="212462"/>
                            <a:ext cx="13" cy="896"/>
                          </a:xfrm>
                          <a:prstGeom prst="bentConnector3">
                            <a:avLst>
                              <a:gd name="adj1" fmla="val 2984615"/>
                            </a:avLst>
                          </a:prstGeom>
                        </wps:spPr>
                        <wps:style>
                          <a:lnRef idx="1">
                            <a:schemeClr val="dk1"/>
                          </a:lnRef>
                          <a:fillRef idx="0">
                            <a:schemeClr val="dk1"/>
                          </a:fillRef>
                          <a:effectRef idx="0">
                            <a:schemeClr val="dk1"/>
                          </a:effectRef>
                          <a:fontRef idx="minor">
                            <a:schemeClr val="tx1"/>
                          </a:fontRef>
                        </wps:style>
                        <wps:bodyPr/>
                      </wps:wsp>
                      <wps:wsp>
                        <wps:cNvPr id="655" name="肘形连接符 655"/>
                        <wps:cNvCnPr/>
                        <wps:spPr>
                          <a:xfrm flipV="1">
                            <a:off x="10705" y="211628"/>
                            <a:ext cx="1114" cy="1103"/>
                          </a:xfrm>
                          <a:prstGeom prst="bentConnector3">
                            <a:avLst>
                              <a:gd name="adj1" fmla="val 5009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58" name="文本框 658"/>
                        <wps:cNvSpPr txBox="1"/>
                        <wps:spPr>
                          <a:xfrm>
                            <a:off x="8775" y="209360"/>
                            <a:ext cx="1587" cy="43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F9A34">
                              <w:pPr>
                                <w:jc w:val="center"/>
                                <w:rPr>
                                  <w:rFonts w:hint="eastAsia"/>
                                  <w:b/>
                                  <w:bCs/>
                                  <w:lang w:eastAsia="zh-CN"/>
                                </w:rPr>
                              </w:pPr>
                              <w:r>
                                <w:rPr>
                                  <w:rFonts w:hint="eastAsia"/>
                                  <w:b/>
                                  <w:bCs/>
                                  <w:lang w:eastAsia="zh-CN"/>
                                </w:rPr>
                                <w:t>事故发生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9" name="直接箭头连接符 659"/>
                        <wps:cNvCnPr>
                          <a:stCxn id="3" idx="2"/>
                          <a:endCxn id="7" idx="0"/>
                        </wps:cNvCnPr>
                        <wps:spPr>
                          <a:xfrm>
                            <a:off x="9530" y="211842"/>
                            <a:ext cx="7" cy="40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2" name="直接箭头连接符 662"/>
                        <wps:cNvCnPr/>
                        <wps:spPr>
                          <a:xfrm flipH="1">
                            <a:off x="9425" y="214313"/>
                            <a:ext cx="4" cy="57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6.35pt;margin-top:3.05pt;height:468.45pt;width:433.15pt;z-index:251660288;mso-width-relative:page;mso-height-relative:page;" coordorigin="5501,209360" coordsize="8663,9369" o:gfxdata="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Dr4KEtoAAAAJAQAADwAAAAAAAAABACAAAAAiAAAAZHJzL2Rv&#10;d25yZXYueG1sUEsBAhQAFAAAAAgAh07iQKsaxC2SCwAAbH0AAA4AAAAAAAAAAQAgAAAAKQEAAGRy&#10;cy9lMm9Eb2MueG1sUEsFBgAAAAAGAAYAWQEAAC0PAAAAAA==&#10;">
                <o:lock v:ext="edit" aspectratio="f"/>
                <v:shape id="_x0000_s1026" o:spid="_x0000_s1026" o:spt="202" type="#_x0000_t202" style="position:absolute;left:12240;top:211950;height:399;width:1924;" fillcolor="#FFFFFF [3201]" filled="t" stroked="t" coordsize="21600,21600" o:gfxdata="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eyw6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39A63FB4">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救援力量赶赴现场</w:t>
                        </w:r>
                      </w:p>
                    </w:txbxContent>
                  </v:textbox>
                </v:shape>
                <v:shape id="_x0000_s1026" o:spid="_x0000_s1026" o:spt="202" type="#_x0000_t202" style="position:absolute;left:8589;top:210190;height:451;width:211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723B446">
                        <w:pPr>
                          <w:jc w:val="center"/>
                          <w:rPr>
                            <w:rFonts w:hint="eastAsia"/>
                            <w:b/>
                            <w:bCs/>
                            <w:lang w:eastAsia="zh-CN"/>
                          </w:rPr>
                        </w:pPr>
                        <w:r>
                          <w:rPr>
                            <w:rFonts w:hint="eastAsia"/>
                            <w:b/>
                            <w:bCs/>
                            <w:lang w:eastAsia="zh-CN"/>
                          </w:rPr>
                          <w:t>信息接受与处理</w:t>
                        </w:r>
                      </w:p>
                    </w:txbxContent>
                  </v:textbox>
                </v:shape>
                <v:shape id="_x0000_s1026" o:spid="_x0000_s1026" o:spt="202" type="#_x0000_t202" style="position:absolute;left:8844;top:211103;height:739;width:1371;"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8D64516">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指挥部办公室分析研判</w:t>
                        </w:r>
                      </w:p>
                    </w:txbxContent>
                  </v:textbox>
                </v:shape>
                <v:shape id="_x0000_s1026" o:spid="_x0000_s1026" o:spt="202" type="#_x0000_t202" style="position:absolute;left:5501;top:211329;height:632;width:155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E70650A">
                        <w:pPr>
                          <w:jc w:val="center"/>
                          <w:rPr>
                            <w:rFonts w:hint="eastAsia" w:ascii="方正楷体_GBK" w:hAnsi="方正楷体_GBK" w:eastAsia="方正楷体_GBK" w:cs="方正楷体_GBK"/>
                            <w:b/>
                            <w:bCs/>
                            <w:sz w:val="24"/>
                            <w:szCs w:val="32"/>
                            <w:lang w:eastAsia="zh-CN"/>
                          </w:rPr>
                        </w:pPr>
                        <w:r>
                          <w:rPr>
                            <w:rFonts w:hint="eastAsia" w:ascii="方正楷体_GBK" w:hAnsi="方正楷体_GBK" w:eastAsia="方正楷体_GBK" w:cs="方正楷体_GBK"/>
                            <w:b/>
                            <w:bCs/>
                            <w:sz w:val="24"/>
                            <w:szCs w:val="32"/>
                            <w:lang w:eastAsia="zh-CN"/>
                          </w:rPr>
                          <w:t>三级响应</w:t>
                        </w:r>
                      </w:p>
                    </w:txbxContent>
                  </v:textbox>
                </v:shape>
                <v:shape id="_x0000_s1026" o:spid="_x0000_s1026" o:spt="202" type="#_x0000_t202" style="position:absolute;left:5525;top:216064;height:396;width:1575;"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1101983">
                        <w:pPr>
                          <w:jc w:val="cente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采取响应措施</w:t>
                        </w:r>
                      </w:p>
                    </w:txbxContent>
                  </v:textbox>
                </v:shape>
                <v:shape id="_x0000_s1026" o:spid="_x0000_s1026" o:spt="202" type="#_x0000_t202" style="position:absolute;left:8751;top:213917;height:396;width:1575;"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D056A5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现场指挥部</w:t>
                        </w:r>
                      </w:p>
                    </w:txbxContent>
                  </v:textbox>
                </v:shape>
                <v:shape id="_x0000_s1026" o:spid="_x0000_s1026" o:spt="202" type="#_x0000_t202" style="position:absolute;left:8761;top:212243;height:438;width:1552;"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36CE02A">
                        <w:pPr>
                          <w:rPr>
                            <w:rFonts w:hint="eastAsia" w:eastAsiaTheme="minorEastAsia"/>
                            <w:lang w:eastAsia="zh-CN"/>
                          </w:rPr>
                        </w:pPr>
                        <w:r>
                          <w:rPr>
                            <w:rFonts w:hint="eastAsia" w:ascii="方正楷体_GBK" w:hAnsi="方正楷体_GBK" w:eastAsia="方正楷体_GBK" w:cs="方正楷体_GBK"/>
                            <w:b/>
                            <w:bCs/>
                            <w:lang w:eastAsia="zh-CN"/>
                          </w:rPr>
                          <w:t>二级响应</w:t>
                        </w:r>
                      </w:p>
                    </w:txbxContent>
                  </v:textbox>
                </v:shape>
                <v:shape id="_x0000_s1026" o:spid="_x0000_s1026" o:spt="68" type="#_x0000_t68" style="position:absolute;left:9310;top:209825;height:343;width:428;v-text-anchor:middle;" fillcolor="#FFFFFF [3212]" filled="t" stroked="t" coordsize="21600,21600" o:gfxdata="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5i/W8AAAA&#10;2gAAAA8AAAAAAAAAAQAgAAAAIgAAAGRycy9kb3ducmV2LnhtbFBLAQIUABQAAAAIAIdO4kAzLwWe&#10;OwAAADkAAAAQAAAAAAAAAAEAIAAAAAsBAABkcnMvc2hhcGV4bWwueG1sUEsFBgAAAAAGAAYAWwEA&#10;ALUDAAAAAA==&#10;" adj="10800,5400">
                  <v:fill on="t" focussize="0,0"/>
                  <v:stroke weight="1pt" color="#000000 [3213]" miterlimit="8" joinstyle="miter"/>
                  <v:imagedata o:title=""/>
                  <o:lock v:ext="edit" aspectratio="f"/>
                </v:shape>
                <v:shape id="_x0000_s1026" o:spid="_x0000_s1026" o:spt="67" type="#_x0000_t67" style="position:absolute;left:9321;top:210722;height:364;width:471;v-text-anchor:middle;" fillcolor="#FFFFFF [3212]" filled="t" stroked="t" coordsize="21600,21600" o:gfxdata="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UFgCvQAA&#10;ANsAAAAPAAAAAAAAAAEAIAAAACIAAABkcnMvZG93bnJldi54bWxQSwECFAAUAAAACACHTuJAMy8F&#10;njsAAAA5AAAAEAAAAAAAAAABACAAAAAMAQAAZHJzL3NoYXBleG1sLnhtbFBLBQYAAAAABgAGAFsB&#10;AAC2AwAAAAA=&#10;" adj="10800,5400">
                  <v:fill on="t" focussize="0,0"/>
                  <v:stroke weight="1pt" color="#000000 [3213]" miterlimit="8" joinstyle="miter"/>
                  <v:imagedata o:title=""/>
                  <o:lock v:ext="edit" aspectratio="f"/>
                </v:shape>
                <v:shape id="_x0000_s1026" o:spid="_x0000_s1026" o:spt="202" type="#_x0000_t202" style="position:absolute;left:8857;top:217465;height:396;width:157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2A01CCA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响应结束</w:t>
                        </w:r>
                      </w:p>
                    </w:txbxContent>
                  </v:textbox>
                </v:shape>
                <v:shape id="_x0000_s1026" o:spid="_x0000_s1026" o:spt="202" type="#_x0000_t202" style="position:absolute;left:11888;top:212637;height:396;width:1575;"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73536A7">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综合组保障组</w:t>
                        </w:r>
                      </w:p>
                    </w:txbxContent>
                  </v:textbox>
                </v:shape>
                <v:shape id="_x0000_s1026" o:spid="_x0000_s1026" o:spt="202" type="#_x0000_t202" style="position:absolute;left:12419;top:210788;height:706;width:1586;"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F325C9D">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指挥部领导和专家赶赴现场</w:t>
                        </w:r>
                      </w:p>
                    </w:txbxContent>
                  </v:textbox>
                </v:shape>
                <v:shape id="_x0000_s1026" o:spid="_x0000_s1026" o:spt="202" type="#_x0000_t202" style="position:absolute;left:11869;top:213140;height:396;width:1575;"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ACC282F">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应急处置组</w:t>
                        </w:r>
                      </w:p>
                    </w:txbxContent>
                  </v:textbox>
                </v:shape>
                <v:shape id="_x0000_s1026" o:spid="_x0000_s1026" o:spt="202" type="#_x0000_t202" style="position:absolute;left:8905;top:218303;height:427;width:1575;"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D3130B4">
                        <w:pPr>
                          <w:ind w:firstLine="210" w:firstLine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后期处置</w:t>
                        </w:r>
                      </w:p>
                    </w:txbxContent>
                  </v:textbox>
                </v:shape>
                <v:shape id="_x0000_s1026" o:spid="_x0000_s1026" o:spt="202" type="#_x0000_t202" style="position:absolute;left:8667;top:214865;height:696;width:1839;"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57D65114">
                        <w:pPr>
                          <w:ind w:left="420" w:leftChars="100" w:hanging="210" w:hangingChars="10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指挥协调应</w:t>
                        </w:r>
                      </w:p>
                      <w:p w14:paraId="60ED7E3D">
                        <w:pPr>
                          <w:ind w:left="420" w:leftChars="200" w:firstLine="0" w:firstLineChars="0"/>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急处置</w:t>
                        </w:r>
                      </w:p>
                    </w:txbxContent>
                  </v:textbox>
                </v:shape>
                <v:shape id="_x0000_s1026" o:spid="_x0000_s1026" o:spt="202" type="#_x0000_t202" style="position:absolute;left:8794;top:216069;height:865;width:1681;"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BD15123">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救援结束，符合响应结束条件</w:t>
                        </w:r>
                      </w:p>
                    </w:txbxContent>
                  </v:textbox>
                </v:shape>
                <v:shape id="_x0000_s1026" o:spid="_x0000_s1026" o:spt="202" type="#_x0000_t202" style="position:absolute;left:11895;top:213690;height:396;width:1575;"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7B94AE1B">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技术专家组</w:t>
                        </w:r>
                      </w:p>
                    </w:txbxContent>
                  </v:textbox>
                </v:shape>
                <v:shape id="_x0000_s1026" o:spid="_x0000_s1026" o:spt="202" type="#_x0000_t202" style="position:absolute;left:11890;top:214218;height:396;width:1575;"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0351C9E">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医疗救援组</w:t>
                        </w:r>
                      </w:p>
                    </w:txbxContent>
                  </v:textbox>
                </v:shape>
                <v:shape id="_x0000_s1026" o:spid="_x0000_s1026" o:spt="202" type="#_x0000_t202" style="position:absolute;left:11873;top:215337;height:396;width:1575;" fillcolor="#FFFFFF [3201]"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04BB12E3">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新闻发布组</w:t>
                        </w:r>
                      </w:p>
                    </w:txbxContent>
                  </v:textbox>
                </v:shape>
                <v:shape id="_x0000_s1026" o:spid="_x0000_s1026" o:spt="202" type="#_x0000_t202" style="position:absolute;left:11873;top:215913;height:396;width:1575;"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C63B158">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环境监测组</w:t>
                        </w:r>
                      </w:p>
                    </w:txbxContent>
                  </v:textbox>
                </v:shape>
                <v:shape id="_x0000_s1026" o:spid="_x0000_s1026" o:spt="202" type="#_x0000_t202" style="position:absolute;left:11898;top:214796;height:396;width:1575;"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23DAED3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社会稳定组</w:t>
                        </w:r>
                      </w:p>
                    </w:txbxContent>
                  </v:textbox>
                </v:shape>
                <v:shape id="_x0000_s1026" o:spid="_x0000_s1026" o:spt="202" type="#_x0000_t202" style="position:absolute;left:11935;top:216445;height:405;width:1490;"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1CE86B30">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善后处置组</w:t>
                        </w:r>
                      </w:p>
                    </w:txbxContent>
                  </v:textbox>
                </v:shape>
                <v:shape id="_x0000_s1026" o:spid="_x0000_s1026" o:spt="32" type="#_x0000_t32" style="position:absolute;left:7053;top:211571;flip:x;height:5;width:1754;" filled="f" stroked="t" coordsize="21600,21600" o:gfxdata="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JGX6/&#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4" type="#_x0000_t34" style="position:absolute;left:7137;top:211906;height:1050;width:1189;" filled="f" stroked="t" coordsize="21600,21600" o:gfxdata="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LDXW8AAAA&#10;2wAAAA8AAAAAAAAAAQAgAAAAIgAAAGRycy9kb3ducmV2LnhtbFBLAQIUABQAAAAIAIdO4kAzLwWe&#10;OwAAADkAAAAQAAAAAAAAAAEAIAAAAAsBAABkcnMvc2hhcGV4bWwueG1sUEsFBgAAAAAGAAYAWwEA&#10;ALUDAAAAAA==&#10;" adj="10809">
                  <v:fill on="f" focussize="0,0"/>
                  <v:stroke weight="1pt" color="#000000 [3200]" miterlimit="8" joinstyle="miter" startarrow="open" endarrow="open"/>
                  <v:imagedata o:title=""/>
                  <o:lock v:ext="edit" aspectratio="f"/>
                </v:shape>
                <v:shape id="_x0000_s1026" o:spid="_x0000_s1026" o:spt="32" type="#_x0000_t32" style="position:absolute;left:6277;top:211961;height:4103;width:36;" filled="f" stroked="t" coordsize="21600,21600" o:gfxdata="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5P3i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3" type="#_x0000_t33" style="position:absolute;left:6942;top:215851;flip:y;height:2482;width:1225;rotation:-5898240f;" filled="f" stroked="t" coordsize="21600,21600" o:gfxdata="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RfYQ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line id="_x0000_s1026" o:spid="_x0000_s1026" o:spt="20" style="position:absolute;left:11096;top:212832;flip:x;height:3817;width:2;" filled="f" stroked="t" coordsize="21600,21600" o:gfxdata="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Fd3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shape id="_x0000_s1026" o:spid="_x0000_s1026" o:spt="32" type="#_x0000_t32" style="position:absolute;left:10357;top:214125;flip:y;height:6;width:722;" filled="f" stroked="t" coordsize="21600,21600" o:gfxdata="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EYqm/&#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line id="_x0000_s1026" o:spid="_x0000_s1026" o:spt="20" style="position:absolute;left:11099;top:212825;height:9;width:780;" filled="f" stroked="t" coordsize="21600,21600" o:gfxdata="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Y5r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11092;top:213355;height:9;width:780;" filled="f" stroked="t" coordsize="21600,21600" o:gfxdata="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YEyU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_x0000_s1026" o:spid="_x0000_s1026" o:spt="20" style="position:absolute;left:11103;top:213880;height:9;width:780;" filled="f" stroked="t" coordsize="21600,21600" o:gfxdata="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s6Q+/&#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11092;top:214405;height:9;width:780;" filled="f" stroked="t" coordsize="21600,21600" o:gfxdata="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P1k+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_x0000_s1026" o:spid="_x0000_s1026" o:spt="20" style="position:absolute;left:11086;top:214999;height:9;width:780;" filled="f" stroked="t" coordsize="21600,21600" o:gfxdata="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4Nz1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11090;top:215528;height:9;width:780;" filled="f" stroked="t" coordsize="21600,21600" o:gfxdata="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R7aO/&#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11084;top:216100;height:9;width:780;" filled="f" stroked="t" coordsize="21600,21600" o:gfxdata="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1IO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line id="_x0000_s1026" o:spid="_x0000_s1026" o:spt="20" style="position:absolute;left:11111;top:216630;height:9;width:780;" filled="f" stroked="t" coordsize="21600,21600" o:gfxdata="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1f9K/&#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shape id="_x0000_s1026" o:spid="_x0000_s1026" o:spt="32" type="#_x0000_t32" style="position:absolute;left:9430;top:213528;flip:x;height:413;width:9;" filled="f" stroked="t" coordsize="21600,21600" o:gfxdata="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adUb4A&#10;AADbAAAADwAAAAAAAAABACAAAAAiAAAAZHJzL2Rvd25yZXYueG1sUEsBAhQAFAAAAAgAh07iQDMv&#10;BZ47AAAAOQAAABAAAAAAAAAAAQAgAAAADQEAAGRycy9zaGFwZXhtbC54bWxQSwUGAAAAAAYABgBb&#10;AQAAtwMAAAAA&#10;">
                  <v:fill on="f" focussize="0,0"/>
                  <v:stroke weight="1pt" color="#000000 [3200]" miterlimit="8" joinstyle="miter" endarrow="open"/>
                  <v:imagedata o:title=""/>
                  <o:lock v:ext="edit" aspectratio="f"/>
                </v:shape>
                <v:shape id="_x0000_s1026" o:spid="_x0000_s1026" o:spt="32" type="#_x0000_t32" style="position:absolute;left:9589;top:216980;height:521;width:15;" filled="f" stroked="t" coordsize="21600,21600" o:gfxdata="UEsDBAoAAAAAAIdO4kAAAAAAAAAAAAAAAAAEAAAAZHJzL1BLAwQUAAAACACHTuJAs9IpJroAAADb&#10;AAAADwAAAGRycy9kb3ducmV2LnhtbEWPT4vCMBTE7wt+h/AEb2uqi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0ikm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527;top:215561;height:551;width:17;" filled="f" stroked="t" coordsize="21600,21600" o:gfxdata="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BLK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578;top:217867;height:429;width:10;" filled="f" stroked="t" coordsize="21600,21600" o:gfxdata="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C3Ub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202" type="#_x0000_t202" style="position:absolute;left:8784;top:213133;height:450;width:1542;"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14:paraId="3C2DD396">
                        <w:pPr>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一级响应</w:t>
                        </w:r>
                      </w:p>
                    </w:txbxContent>
                  </v:textbox>
                </v:shape>
                <v:shape id="_x0000_s1026" o:spid="_x0000_s1026" o:spt="70" type="#_x0000_t70" style="position:absolute;left:9370;top:212676;height:451;width:291;v-text-anchor:middle;" fillcolor="#FFFFFF [3201]" filled="t" stroked="t" coordsize="21600,21600" o:gfxdata="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RaRLsAAADb&#10;AAAADwAAAAAAAAABACAAAAAiAAAAZHJzL2Rvd25yZXYueG1sUEsBAhQAFAAAAAgAh07iQDMvBZ47&#10;AAAAOQAAABAAAAAAAAAAAQAgAAAACgEAAGRycy9zaGFwZXhtbC54bWxQSwUGAAAAAAYABgBbAQAA&#10;tAMAAAAA&#10;" adj="5400,6968">
                  <v:fill on="t" focussize="0,0"/>
                  <v:stroke weight="1pt" color="#000000 [3200]" miterlimit="8" joinstyle="miter"/>
                  <v:imagedata o:title=""/>
                  <o:lock v:ext="edit" aspectratio="f"/>
                </v:shape>
                <v:shape id="_x0000_s1026" o:spid="_x0000_s1026" o:spt="34" type="#_x0000_t34" style="position:absolute;left:8728;top:212386;flip:x y;height:873;width:27;rotation:11796480f;" filled="f" stroked="t" coordsize="21600,21600" o:gfxdata="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9Nfr4A&#10;AADbAAAADwAAAAAAAAABACAAAAAiAAAAZHJzL2Rvd25yZXYueG1sUEsBAhQAFAAAAAgAh07iQDMv&#10;BZ47AAAAOQAAABAAAAAAAAAAAQAgAAAADQEAAGRycy9zaGFwZXhtbC54bWxQSwUGAAAAAAYABgBb&#10;AQAAtwMAAAAA&#10;" adj="-300000">
                  <v:fill on="f" focussize="0,0"/>
                  <v:stroke weight="1pt" color="#000000 [3200]" miterlimit="8" joinstyle="miter"/>
                  <v:imagedata o:title=""/>
                  <o:lock v:ext="edit" aspectratio="f"/>
                </v:shape>
                <v:shape id="_x0000_s1026" o:spid="_x0000_s1026" o:spt="34" type="#_x0000_t34" style="position:absolute;left:12233;top:211141;flip:y;height:1041;width:156;rotation:11796480f;" filled="f" stroked="t" coordsize="21600,21600" o:gfxdata="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i9D28AAAA&#10;3AAAAA8AAAAAAAAAAQAgAAAAIgAAAGRycy9kb3ducmV2LnhtbFBLAQIUABQAAAAIAIdO4kAzLwWe&#10;OwAAADkAAAAQAAAAAAAAAAEAIAAAAAsBAABkcnMvc2hhcGV4bWwueG1sUEsFBgAAAAAGAAYAWwEA&#10;ALUDAAAAAA==&#10;" adj="73523">
                  <v:fill on="f" focussize="0,0"/>
                  <v:stroke weight="1pt" color="#000000 [3200]" miterlimit="8" joinstyle="miter"/>
                  <v:imagedata o:title=""/>
                  <o:lock v:ext="edit" aspectratio="f"/>
                </v:shape>
                <v:shape id="_x0000_s1026" o:spid="_x0000_s1026" o:spt="34" type="#_x0000_t34" style="position:absolute;left:10313;top:212462;height:896;width:13;" filled="f" stroked="t" coordsize="21600,21600" o:gfxdata="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yVnm/&#10;AAAA3AAAAA8AAAAAAAAAAQAgAAAAIgAAAGRycy9kb3ducmV2LnhtbFBLAQIUABQAAAAIAIdO4kAz&#10;LwWeOwAAADkAAAAQAAAAAAAAAAEAIAAAAA4BAABkcnMvc2hhcGV4bWwueG1sUEsFBgAAAAAGAAYA&#10;WwEAALgDAAAAAA==&#10;" adj="644677">
                  <v:fill on="f" focussize="0,0"/>
                  <v:stroke weight="1pt" color="#000000 [3200]" miterlimit="8" joinstyle="miter"/>
                  <v:imagedata o:title=""/>
                  <o:lock v:ext="edit" aspectratio="f"/>
                </v:shape>
                <v:shape id="_x0000_s1026" o:spid="_x0000_s1026" o:spt="34" type="#_x0000_t34" style="position:absolute;left:10705;top:211628;flip:y;height:1103;width:1114;" filled="f" stroked="t" coordsize="21600,21600" o:gfxdata="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gSpvQAA&#10;ANwAAAAPAAAAAAAAAAEAIAAAACIAAABkcnMvZG93bnJldi54bWxQSwECFAAUAAAACACHTuJAMy8F&#10;njsAAAA5AAAAEAAAAAAAAAABACAAAAAMAQAAZHJzL3NoYXBleG1sLnhtbFBLBQYAAAAABgAGAFsB&#10;AAC2AwAAAAA=&#10;" adj="10819">
                  <v:fill on="f" focussize="0,0"/>
                  <v:stroke weight="1pt" color="#000000 [3200]" miterlimit="8" joinstyle="miter" endarrow="open"/>
                  <v:imagedata o:title=""/>
                  <o:lock v:ext="edit" aspectratio="f"/>
                </v:shape>
                <v:shape id="_x0000_s1026" o:spid="_x0000_s1026" o:spt="202" type="#_x0000_t202" style="position:absolute;left:8775;top:209360;height:439;width:1587;" fillcolor="#FFFFFF [3201]" filled="t" stroked="t" coordsize="21600,21600" o:gfxdata="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cv4S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16F9A34">
                        <w:pPr>
                          <w:jc w:val="center"/>
                          <w:rPr>
                            <w:rFonts w:hint="eastAsia"/>
                            <w:b/>
                            <w:bCs/>
                            <w:lang w:eastAsia="zh-CN"/>
                          </w:rPr>
                        </w:pPr>
                        <w:r>
                          <w:rPr>
                            <w:rFonts w:hint="eastAsia"/>
                            <w:b/>
                            <w:bCs/>
                            <w:lang w:eastAsia="zh-CN"/>
                          </w:rPr>
                          <w:t>事故发生</w:t>
                        </w:r>
                      </w:p>
                    </w:txbxContent>
                  </v:textbox>
                </v:shape>
                <v:shape id="_x0000_s1026" o:spid="_x0000_s1026" o:spt="32" type="#_x0000_t32" style="position:absolute;left:9530;top:211842;height:401;width:7;" filled="f" stroked="t" coordsize="21600,21600" o:gfxdata="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7BKkLsAAADc&#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_x0000_s1026" o:spid="_x0000_s1026" o:spt="32" type="#_x0000_t32" style="position:absolute;left:9425;top:214313;flip:x;height:574;width:4;" filled="f" stroked="t" coordsize="21600,21600" o:gfxdata="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X/or&#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group>
            </w:pict>
          </mc:Fallback>
        </mc:AlternateContent>
      </w:r>
    </w:p>
    <w:p w14:paraId="1205FB05">
      <w:pPr>
        <w:shd w:val="clear"/>
        <w:bidi w:val="0"/>
        <w:rPr>
          <w:rFonts w:hint="eastAsia"/>
          <w:lang w:val="en-US" w:eastAsia="zh-CN"/>
        </w:rPr>
      </w:pPr>
    </w:p>
    <w:p w14:paraId="1DF9BC4B">
      <w:pPr>
        <w:shd w:val="clear"/>
        <w:bidi w:val="0"/>
        <w:rPr>
          <w:rFonts w:hint="eastAsia"/>
          <w:lang w:val="en-US" w:eastAsia="zh-CN"/>
        </w:rPr>
      </w:pPr>
    </w:p>
    <w:p w14:paraId="7FB7C7B1">
      <w:pPr>
        <w:shd w:val="clear"/>
        <w:bidi w:val="0"/>
        <w:rPr>
          <w:rFonts w:hint="eastAsia"/>
          <w:lang w:val="en-US" w:eastAsia="zh-CN"/>
        </w:rPr>
      </w:pPr>
    </w:p>
    <w:p w14:paraId="7ECAF346">
      <w:pPr>
        <w:shd w:val="clear"/>
        <w:bidi w:val="0"/>
        <w:rPr>
          <w:rFonts w:hint="eastAsia"/>
          <w:lang w:val="en-US" w:eastAsia="zh-CN"/>
        </w:rPr>
      </w:pPr>
    </w:p>
    <w:p w14:paraId="5332885F">
      <w:pPr>
        <w:shd w:val="clear"/>
        <w:bidi w:val="0"/>
        <w:rPr>
          <w:rFonts w:hint="eastAsia"/>
          <w:lang w:val="en-US" w:eastAsia="zh-CN"/>
        </w:rPr>
      </w:pPr>
    </w:p>
    <w:p w14:paraId="3E9F98BD">
      <w:pPr>
        <w:shd w:val="clear"/>
        <w:bidi w:val="0"/>
        <w:rPr>
          <w:rFonts w:hint="eastAsia"/>
          <w:lang w:val="en-US" w:eastAsia="zh-CN"/>
        </w:rPr>
      </w:pPr>
    </w:p>
    <w:p w14:paraId="0244667F">
      <w:pPr>
        <w:shd w:val="clear"/>
        <w:bidi w:val="0"/>
        <w:rPr>
          <w:rFonts w:hint="eastAsia"/>
          <w:lang w:val="en-US" w:eastAsia="zh-CN"/>
        </w:rPr>
      </w:pPr>
    </w:p>
    <w:p w14:paraId="3646DAF1">
      <w:pPr>
        <w:shd w:val="clear"/>
        <w:bidi w:val="0"/>
        <w:rPr>
          <w:rFonts w:hint="eastAsia"/>
          <w:lang w:val="en-US" w:eastAsia="zh-CN"/>
        </w:rPr>
      </w:pPr>
    </w:p>
    <w:p w14:paraId="71E25634">
      <w:pPr>
        <w:shd w:val="clear"/>
        <w:bidi w:val="0"/>
        <w:rPr>
          <w:rFonts w:hint="eastAsia"/>
          <w:lang w:val="en-US" w:eastAsia="zh-CN"/>
        </w:rPr>
      </w:pPr>
    </w:p>
    <w:p w14:paraId="61A46705">
      <w:pPr>
        <w:shd w:val="clear"/>
        <w:bidi w:val="0"/>
        <w:rPr>
          <w:rFonts w:hint="eastAsia"/>
          <w:lang w:val="en-US" w:eastAsia="zh-CN"/>
        </w:rPr>
      </w:pPr>
    </w:p>
    <w:p w14:paraId="385D7B39">
      <w:pPr>
        <w:shd w:val="clear"/>
        <w:bidi w:val="0"/>
        <w:rPr>
          <w:rFonts w:hint="eastAsia"/>
          <w:lang w:val="en-US" w:eastAsia="zh-CN"/>
        </w:rPr>
      </w:pPr>
    </w:p>
    <w:p w14:paraId="25E630AA">
      <w:pPr>
        <w:shd w:val="clear"/>
        <w:bidi w:val="0"/>
        <w:rPr>
          <w:rFonts w:hint="eastAsia"/>
          <w:lang w:val="en-US" w:eastAsia="zh-CN"/>
        </w:rPr>
      </w:pPr>
    </w:p>
    <w:p w14:paraId="342E942A">
      <w:pPr>
        <w:shd w:val="clear"/>
        <w:bidi w:val="0"/>
        <w:rPr>
          <w:rFonts w:hint="eastAsia"/>
          <w:lang w:val="en-US" w:eastAsia="zh-CN"/>
        </w:rPr>
      </w:pPr>
    </w:p>
    <w:p w14:paraId="4DA6BDA4">
      <w:pPr>
        <w:shd w:val="clear"/>
        <w:bidi w:val="0"/>
        <w:rPr>
          <w:rFonts w:hint="eastAsia"/>
          <w:lang w:val="en-US" w:eastAsia="zh-CN"/>
        </w:rPr>
      </w:pPr>
    </w:p>
    <w:p w14:paraId="0026F51E">
      <w:pPr>
        <w:shd w:val="clear"/>
        <w:bidi w:val="0"/>
        <w:rPr>
          <w:rFonts w:hint="eastAsia"/>
          <w:lang w:val="en-US" w:eastAsia="zh-CN"/>
        </w:rPr>
      </w:pPr>
    </w:p>
    <w:p w14:paraId="2F7884E7">
      <w:pPr>
        <w:shd w:val="clear"/>
        <w:bidi w:val="0"/>
        <w:rPr>
          <w:rFonts w:hint="eastAsia"/>
          <w:lang w:val="en-US" w:eastAsia="zh-CN"/>
        </w:rPr>
      </w:pPr>
    </w:p>
    <w:p w14:paraId="42F8FD06">
      <w:pPr>
        <w:shd w:val="clear"/>
        <w:bidi w:val="0"/>
        <w:rPr>
          <w:rFonts w:hint="eastAsia"/>
          <w:lang w:val="en-US" w:eastAsia="zh-CN"/>
        </w:rPr>
      </w:pPr>
    </w:p>
    <w:p w14:paraId="22A887F4">
      <w:pPr>
        <w:shd w:val="clear"/>
        <w:bidi w:val="0"/>
        <w:rPr>
          <w:rFonts w:hint="eastAsia"/>
          <w:lang w:val="en-US" w:eastAsia="zh-CN"/>
        </w:rPr>
      </w:pPr>
    </w:p>
    <w:p w14:paraId="74FB6FCA">
      <w:pPr>
        <w:shd w:val="clear"/>
        <w:bidi w:val="0"/>
        <w:rPr>
          <w:rFonts w:hint="eastAsia"/>
          <w:lang w:val="en-US" w:eastAsia="zh-CN"/>
        </w:rPr>
      </w:pPr>
    </w:p>
    <w:p w14:paraId="3072A9DA">
      <w:pPr>
        <w:shd w:val="clear"/>
        <w:bidi w:val="0"/>
        <w:rPr>
          <w:rFonts w:hint="eastAsia"/>
          <w:lang w:val="en-US" w:eastAsia="zh-CN"/>
        </w:rPr>
      </w:pPr>
    </w:p>
    <w:p w14:paraId="26613B5C">
      <w:pPr>
        <w:shd w:val="clear"/>
        <w:bidi w:val="0"/>
        <w:rPr>
          <w:rFonts w:hint="eastAsia"/>
          <w:lang w:val="en-US" w:eastAsia="zh-CN"/>
        </w:rPr>
      </w:pPr>
    </w:p>
    <w:p w14:paraId="79D5A78D">
      <w:pPr>
        <w:shd w:val="clear"/>
        <w:bidi w:val="0"/>
        <w:rPr>
          <w:rFonts w:hint="eastAsia"/>
          <w:lang w:val="en-US" w:eastAsia="zh-CN"/>
        </w:rPr>
      </w:pPr>
    </w:p>
    <w:p w14:paraId="369AB079">
      <w:pPr>
        <w:shd w:val="clear"/>
        <w:bidi w:val="0"/>
        <w:rPr>
          <w:rFonts w:hint="eastAsia"/>
          <w:lang w:val="en-US" w:eastAsia="zh-CN"/>
        </w:rPr>
      </w:pPr>
    </w:p>
    <w:p w14:paraId="27EB7C70">
      <w:pPr>
        <w:shd w:val="clear"/>
        <w:bidi w:val="0"/>
        <w:rPr>
          <w:rFonts w:hint="eastAsia"/>
          <w:lang w:val="en-US" w:eastAsia="zh-CN"/>
        </w:rPr>
      </w:pPr>
    </w:p>
    <w:p w14:paraId="002AAF03">
      <w:pPr>
        <w:shd w:val="clear"/>
        <w:bidi w:val="0"/>
        <w:rPr>
          <w:rFonts w:hint="eastAsia"/>
          <w:lang w:val="en-US" w:eastAsia="zh-CN"/>
        </w:rPr>
      </w:pPr>
    </w:p>
    <w:p w14:paraId="4A92CEC7">
      <w:pPr>
        <w:shd w:val="clear"/>
        <w:bidi w:val="0"/>
        <w:rPr>
          <w:rFonts w:hint="eastAsia"/>
          <w:lang w:val="en-US" w:eastAsia="zh-CN"/>
        </w:rPr>
      </w:pPr>
    </w:p>
    <w:p w14:paraId="2328C05E">
      <w:pPr>
        <w:shd w:val="clear"/>
        <w:bidi w:val="0"/>
        <w:rPr>
          <w:rFonts w:hint="eastAsia"/>
          <w:lang w:val="en-US" w:eastAsia="zh-CN"/>
        </w:rPr>
      </w:pPr>
    </w:p>
    <w:p w14:paraId="7FC59ACA">
      <w:pPr>
        <w:shd w:val="clear"/>
        <w:bidi w:val="0"/>
        <w:rPr>
          <w:rFonts w:hint="eastAsia"/>
          <w:lang w:val="en-US" w:eastAsia="zh-CN"/>
        </w:rPr>
      </w:pPr>
    </w:p>
    <w:p w14:paraId="7D80E585">
      <w:pPr>
        <w:shd w:val="clear"/>
        <w:bidi w:val="0"/>
        <w:rPr>
          <w:rFonts w:hint="eastAsia"/>
          <w:lang w:val="en-US" w:eastAsia="zh-CN"/>
        </w:rPr>
      </w:pPr>
    </w:p>
    <w:p w14:paraId="0ADEC47B">
      <w:pPr>
        <w:shd w:val="clear"/>
        <w:bidi w:val="0"/>
        <w:rPr>
          <w:rFonts w:hint="eastAsia"/>
          <w:lang w:val="en-US" w:eastAsia="zh-CN"/>
        </w:rPr>
      </w:pPr>
    </w:p>
    <w:p w14:paraId="2A0200A9">
      <w:pPr>
        <w:shd w:val="clear"/>
        <w:bidi w:val="0"/>
        <w:rPr>
          <w:rFonts w:hint="eastAsia"/>
          <w:lang w:val="en-US" w:eastAsia="zh-CN"/>
        </w:rPr>
      </w:pPr>
    </w:p>
    <w:p w14:paraId="676BC389">
      <w:pPr>
        <w:shd w:val="clear"/>
        <w:tabs>
          <w:tab w:val="left" w:pos="773"/>
        </w:tabs>
        <w:bidi w:val="0"/>
        <w:jc w:val="left"/>
        <w:rPr>
          <w:rFonts w:hint="eastAsia"/>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lang w:val="en-US" w:eastAsia="zh-CN"/>
        </w:rPr>
        <w:tab/>
      </w:r>
    </w:p>
    <w:p w14:paraId="50B45D51">
      <w:pPr>
        <w:shd w:val="clear"/>
        <w:spacing w:before="101" w:line="23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附件2</w:t>
      </w:r>
    </w:p>
    <w:p w14:paraId="0437DC49">
      <w:pPr>
        <w:shd w:val="clear"/>
        <w:spacing w:before="218" w:line="225" w:lineRule="auto"/>
        <w:ind w:left="2572"/>
        <w:outlineLvl w:val="0"/>
        <w:rPr>
          <w:rFonts w:ascii="黑体" w:hAnsi="黑体" w:eastAsia="黑体" w:cs="黑体"/>
          <w:sz w:val="43"/>
          <w:szCs w:val="43"/>
        </w:rPr>
      </w:pPr>
      <w:bookmarkStart w:id="45" w:name="_Toc8139"/>
      <w:r>
        <w:rPr>
          <w:rFonts w:hint="eastAsia" w:ascii="黑体" w:hAnsi="黑体" w:eastAsia="黑体" w:cs="黑体"/>
          <w:spacing w:val="9"/>
          <w:sz w:val="43"/>
          <w:szCs w:val="43"/>
          <w:lang w:eastAsia="zh-CN"/>
        </w:rPr>
        <w:t>浑源县</w:t>
      </w:r>
      <w:r>
        <w:rPr>
          <w:rFonts w:ascii="黑体" w:hAnsi="黑体" w:eastAsia="黑体" w:cs="黑体"/>
          <w:spacing w:val="9"/>
          <w:sz w:val="43"/>
          <w:szCs w:val="43"/>
        </w:rPr>
        <w:t>冶金工贸行业生产安全事故指挥部</w:t>
      </w:r>
      <w:bookmarkEnd w:id="45"/>
    </w:p>
    <w:p w14:paraId="0FB51CE8">
      <w:pPr>
        <w:shd w:val="clear"/>
        <w:spacing w:before="52"/>
      </w:pPr>
    </w:p>
    <w:tbl>
      <w:tblPr>
        <w:tblStyle w:val="18"/>
        <w:tblW w:w="13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2615"/>
        <w:gridCol w:w="9820"/>
      </w:tblGrid>
      <w:tr w14:paraId="5C8F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0" w:type="dxa"/>
            <w:vAlign w:val="top"/>
          </w:tcPr>
          <w:p w14:paraId="5AC70C18">
            <w:pPr>
              <w:shd w:val="clear"/>
              <w:spacing w:before="168" w:line="221" w:lineRule="auto"/>
              <w:ind w:left="417"/>
              <w:rPr>
                <w:rFonts w:hint="eastAsia" w:ascii="黑体" w:hAnsi="黑体" w:eastAsia="黑体" w:cs="黑体"/>
                <w:sz w:val="24"/>
                <w:szCs w:val="24"/>
                <w:lang w:eastAsia="zh-CN"/>
              </w:rPr>
            </w:pPr>
            <w:r>
              <w:rPr>
                <w:rFonts w:hint="eastAsia" w:ascii="黑体" w:hAnsi="黑体" w:eastAsia="黑体" w:cs="黑体"/>
                <w:sz w:val="24"/>
                <w:szCs w:val="24"/>
                <w:lang w:eastAsia="zh-CN"/>
              </w:rPr>
              <w:t>职务</w:t>
            </w:r>
          </w:p>
          <w:p w14:paraId="37B1C008">
            <w:pPr>
              <w:shd w:val="clear"/>
              <w:ind w:firstLine="210" w:firstLineChars="100"/>
              <w:jc w:val="center"/>
              <w:rPr>
                <w:rFonts w:ascii="Arial"/>
                <w:sz w:val="21"/>
              </w:rPr>
            </w:pPr>
          </w:p>
        </w:tc>
        <w:tc>
          <w:tcPr>
            <w:tcW w:w="2615" w:type="dxa"/>
            <w:vAlign w:val="top"/>
          </w:tcPr>
          <w:p w14:paraId="6ED73DC0">
            <w:pPr>
              <w:shd w:val="clear"/>
              <w:spacing w:before="168" w:line="221" w:lineRule="auto"/>
              <w:ind w:left="417"/>
              <w:rPr>
                <w:rFonts w:hint="eastAsia" w:ascii="黑体" w:hAnsi="黑体" w:eastAsia="黑体" w:cs="黑体"/>
                <w:sz w:val="24"/>
                <w:szCs w:val="24"/>
                <w:lang w:eastAsia="zh-CN"/>
              </w:rPr>
            </w:pPr>
            <w:r>
              <w:rPr>
                <w:rFonts w:hint="eastAsia" w:ascii="黑体" w:hAnsi="黑体" w:eastAsia="黑体" w:cs="黑体"/>
                <w:sz w:val="24"/>
                <w:szCs w:val="24"/>
                <w:lang w:eastAsia="zh-CN"/>
              </w:rPr>
              <w:t>人员组成</w:t>
            </w:r>
          </w:p>
        </w:tc>
        <w:tc>
          <w:tcPr>
            <w:tcW w:w="9820" w:type="dxa"/>
            <w:vAlign w:val="top"/>
          </w:tcPr>
          <w:p w14:paraId="7CAC8275">
            <w:pPr>
              <w:shd w:val="clear"/>
              <w:spacing w:before="168" w:line="221" w:lineRule="auto"/>
              <w:ind w:left="4684"/>
              <w:rPr>
                <w:rFonts w:ascii="黑体" w:hAnsi="黑体" w:eastAsia="黑体" w:cs="黑体"/>
                <w:sz w:val="24"/>
                <w:szCs w:val="24"/>
              </w:rPr>
            </w:pPr>
            <w:r>
              <w:rPr>
                <w:rFonts w:ascii="黑体" w:hAnsi="黑体" w:eastAsia="黑体" w:cs="黑体"/>
                <w:spacing w:val="6"/>
                <w:sz w:val="24"/>
                <w:szCs w:val="24"/>
              </w:rPr>
              <w:t>指挥机构职责</w:t>
            </w:r>
          </w:p>
        </w:tc>
      </w:tr>
      <w:tr w14:paraId="0CADE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00" w:type="dxa"/>
            <w:vAlign w:val="top"/>
          </w:tcPr>
          <w:p w14:paraId="2955AC41">
            <w:pPr>
              <w:shd w:val="clear"/>
              <w:spacing w:line="453" w:lineRule="auto"/>
              <w:rPr>
                <w:rFonts w:ascii="Arial"/>
                <w:sz w:val="21"/>
              </w:rPr>
            </w:pPr>
          </w:p>
          <w:p w14:paraId="2371CA14">
            <w:pPr>
              <w:pStyle w:val="19"/>
              <w:shd w:val="clear"/>
              <w:spacing w:before="78" w:line="222" w:lineRule="auto"/>
              <w:ind w:left="204"/>
            </w:pPr>
            <w:r>
              <w:rPr>
                <w:spacing w:val="-6"/>
              </w:rPr>
              <w:t>指挥长</w:t>
            </w:r>
          </w:p>
        </w:tc>
        <w:tc>
          <w:tcPr>
            <w:tcW w:w="2615" w:type="dxa"/>
            <w:vAlign w:val="top"/>
          </w:tcPr>
          <w:p w14:paraId="202FAA95">
            <w:pPr>
              <w:shd w:val="clear"/>
              <w:spacing w:line="301" w:lineRule="auto"/>
              <w:rPr>
                <w:rFonts w:ascii="Arial"/>
                <w:sz w:val="21"/>
              </w:rPr>
            </w:pPr>
          </w:p>
          <w:p w14:paraId="2B3CF1A5">
            <w:pPr>
              <w:pStyle w:val="19"/>
              <w:shd w:val="clear"/>
              <w:spacing w:before="78" w:line="227" w:lineRule="auto"/>
              <w:ind w:right="416"/>
            </w:pPr>
            <w:r>
              <w:rPr>
                <w:rFonts w:hint="eastAsia"/>
                <w:spacing w:val="1"/>
                <w:lang w:eastAsia="zh-CN"/>
              </w:rPr>
              <w:t>县政府副县长</w:t>
            </w:r>
          </w:p>
        </w:tc>
        <w:tc>
          <w:tcPr>
            <w:tcW w:w="9820" w:type="dxa"/>
            <w:vMerge w:val="restart"/>
            <w:tcBorders>
              <w:bottom w:val="nil"/>
            </w:tcBorders>
            <w:vAlign w:val="top"/>
          </w:tcPr>
          <w:p w14:paraId="3F534A58">
            <w:pPr>
              <w:shd w:val="clear"/>
              <w:spacing w:line="273" w:lineRule="auto"/>
              <w:rPr>
                <w:rFonts w:ascii="Arial"/>
                <w:sz w:val="21"/>
              </w:rPr>
            </w:pPr>
          </w:p>
          <w:p w14:paraId="788027B9">
            <w:pPr>
              <w:shd w:val="clear"/>
              <w:spacing w:line="273" w:lineRule="auto"/>
              <w:rPr>
                <w:rFonts w:ascii="Arial"/>
                <w:sz w:val="21"/>
              </w:rPr>
            </w:pPr>
          </w:p>
          <w:p w14:paraId="6636D9F1">
            <w:pPr>
              <w:shd w:val="clear"/>
              <w:spacing w:line="273" w:lineRule="auto"/>
              <w:rPr>
                <w:rFonts w:ascii="Arial"/>
                <w:sz w:val="21"/>
              </w:rPr>
            </w:pPr>
          </w:p>
          <w:p w14:paraId="35F02BD3">
            <w:pPr>
              <w:shd w:val="clear"/>
              <w:spacing w:line="274" w:lineRule="auto"/>
              <w:rPr>
                <w:rFonts w:ascii="Arial"/>
                <w:sz w:val="21"/>
              </w:rPr>
            </w:pPr>
          </w:p>
          <w:p w14:paraId="3E9C6364">
            <w:pPr>
              <w:pStyle w:val="19"/>
              <w:shd w:val="clear"/>
              <w:spacing w:before="78" w:line="271" w:lineRule="auto"/>
              <w:ind w:left="121" w:right="124" w:firstLine="10"/>
              <w:rPr>
                <w:color w:val="auto"/>
              </w:rPr>
            </w:pPr>
            <w:r>
              <w:rPr>
                <w:rFonts w:hint="eastAsia"/>
                <w:spacing w:val="8"/>
                <w:lang w:eastAsia="zh-CN"/>
              </w:rPr>
              <w:t>县</w:t>
            </w:r>
            <w:r>
              <w:rPr>
                <w:spacing w:val="8"/>
              </w:rPr>
              <w:t>指挥部职责：贯彻落实党中央、国务院及省委、省政府关于安全生产工作的决策部署，统筹</w:t>
            </w:r>
            <w:r>
              <w:rPr>
                <w:spacing w:val="7"/>
              </w:rPr>
              <w:t>协调全</w:t>
            </w:r>
            <w:r>
              <w:rPr>
                <w:rFonts w:hint="eastAsia"/>
                <w:spacing w:val="7"/>
                <w:lang w:eastAsia="zh-CN"/>
              </w:rPr>
              <w:t>县</w:t>
            </w:r>
            <w:r>
              <w:rPr>
                <w:spacing w:val="7"/>
              </w:rPr>
              <w:t>生产安全事故防范和隐患排查治理工作，制定安全生产总体规划、重要措施，组织指</w:t>
            </w:r>
            <w:r>
              <w:rPr>
                <w:spacing w:val="13"/>
              </w:rPr>
              <w:t>挥冶金工贸行业的较大生产安全事故应急处置工作，指导协调冶金工贸行业的较大生产安全事</w:t>
            </w:r>
            <w:r>
              <w:rPr>
                <w:spacing w:val="16"/>
              </w:rPr>
              <w:t>故调查评估和善后处置工作</w:t>
            </w:r>
            <w:r>
              <w:rPr>
                <w:rFonts w:hint="eastAsia"/>
                <w:spacing w:val="-63"/>
                <w:lang w:eastAsia="zh-CN"/>
              </w:rPr>
              <w:t>，</w:t>
            </w:r>
            <w:r>
              <w:rPr>
                <w:spacing w:val="16"/>
              </w:rPr>
              <w:t>落实</w:t>
            </w:r>
            <w:r>
              <w:rPr>
                <w:rFonts w:hint="eastAsia"/>
                <w:spacing w:val="16"/>
                <w:lang w:eastAsia="zh-CN"/>
              </w:rPr>
              <w:t>县</w:t>
            </w:r>
            <w:r>
              <w:rPr>
                <w:spacing w:val="16"/>
              </w:rPr>
              <w:t>委、</w:t>
            </w:r>
            <w:r>
              <w:rPr>
                <w:rFonts w:hint="eastAsia"/>
                <w:spacing w:val="16"/>
                <w:lang w:eastAsia="zh-CN"/>
              </w:rPr>
              <w:t>县</w:t>
            </w:r>
            <w:r>
              <w:rPr>
                <w:spacing w:val="16"/>
              </w:rPr>
              <w:t>政府和</w:t>
            </w:r>
            <w:r>
              <w:rPr>
                <w:rFonts w:hint="eastAsia"/>
                <w:color w:val="auto"/>
                <w:spacing w:val="16"/>
                <w:lang w:eastAsia="zh-CN"/>
              </w:rPr>
              <w:t>县</w:t>
            </w:r>
            <w:r>
              <w:rPr>
                <w:color w:val="auto"/>
                <w:spacing w:val="16"/>
              </w:rPr>
              <w:t>应急救援总指挥部交办的生产安全事故应</w:t>
            </w:r>
            <w:r>
              <w:rPr>
                <w:color w:val="auto"/>
                <w:spacing w:val="4"/>
              </w:rPr>
              <w:t>急处置的其他重大事项。</w:t>
            </w:r>
          </w:p>
          <w:p w14:paraId="70D962B5">
            <w:pPr>
              <w:pStyle w:val="19"/>
              <w:shd w:val="clear"/>
              <w:spacing w:before="39" w:line="220" w:lineRule="auto"/>
              <w:ind w:left="126"/>
            </w:pPr>
            <w:r>
              <w:rPr>
                <w:rFonts w:hint="eastAsia"/>
                <w:spacing w:val="6"/>
                <w:lang w:eastAsia="zh-CN"/>
              </w:rPr>
              <w:t>县</w:t>
            </w:r>
            <w:r>
              <w:rPr>
                <w:spacing w:val="6"/>
              </w:rPr>
              <w:t>应急局局长兼任办公室主任。</w:t>
            </w:r>
          </w:p>
          <w:p w14:paraId="2137EFFA">
            <w:pPr>
              <w:pStyle w:val="19"/>
              <w:shd w:val="clear"/>
              <w:spacing w:before="71" w:line="272" w:lineRule="auto"/>
              <w:ind w:left="120" w:right="124" w:firstLine="6"/>
            </w:pPr>
            <w:r>
              <w:rPr>
                <w:rFonts w:hint="eastAsia"/>
                <w:spacing w:val="10"/>
                <w:lang w:eastAsia="zh-CN"/>
              </w:rPr>
              <w:t>县</w:t>
            </w:r>
            <w:r>
              <w:rPr>
                <w:spacing w:val="10"/>
              </w:rPr>
              <w:t>指挥部办公室职责：承担生产安全事故应急指挥部日</w:t>
            </w:r>
            <w:r>
              <w:rPr>
                <w:spacing w:val="9"/>
              </w:rPr>
              <w:t>常工作，制定、修订生产安全事故专项</w:t>
            </w:r>
            <w:r>
              <w:rPr>
                <w:spacing w:val="7"/>
              </w:rPr>
              <w:t>应急预案，组织生产安全事故防范和隐患排查治理工作，组织桌面推演、实兵演练等应</w:t>
            </w:r>
            <w:r>
              <w:rPr>
                <w:spacing w:val="6"/>
              </w:rPr>
              <w:t>对生产</w:t>
            </w:r>
            <w:r>
              <w:rPr>
                <w:spacing w:val="8"/>
              </w:rPr>
              <w:t>安全事故专项训练，协调各方面力量参加较大生产安全事故应急处置行动，协助</w:t>
            </w:r>
            <w:r>
              <w:rPr>
                <w:rFonts w:hint="eastAsia"/>
                <w:spacing w:val="8"/>
                <w:lang w:eastAsia="zh-CN"/>
              </w:rPr>
              <w:t>县</w:t>
            </w:r>
            <w:r>
              <w:rPr>
                <w:spacing w:val="8"/>
              </w:rPr>
              <w:t>委、</w:t>
            </w:r>
            <w:r>
              <w:rPr>
                <w:rFonts w:hint="eastAsia"/>
                <w:spacing w:val="8"/>
                <w:lang w:eastAsia="zh-CN"/>
              </w:rPr>
              <w:t>县</w:t>
            </w:r>
            <w:r>
              <w:rPr>
                <w:spacing w:val="8"/>
              </w:rPr>
              <w:t>政府</w:t>
            </w:r>
            <w:r>
              <w:rPr>
                <w:spacing w:val="11"/>
              </w:rPr>
              <w:t>指定的负责同志组织</w:t>
            </w:r>
            <w:r>
              <w:rPr>
                <w:rFonts w:hint="eastAsia"/>
                <w:spacing w:val="11"/>
                <w:lang w:eastAsia="zh-CN"/>
              </w:rPr>
              <w:t>一般</w:t>
            </w:r>
            <w:r>
              <w:rPr>
                <w:spacing w:val="11"/>
              </w:rPr>
              <w:t>生产安全事故应急处置工作，协调组织</w:t>
            </w:r>
            <w:r>
              <w:rPr>
                <w:spacing w:val="10"/>
              </w:rPr>
              <w:t>较大生产安全事故调查和善后</w:t>
            </w:r>
            <w:r>
              <w:rPr>
                <w:spacing w:val="16"/>
              </w:rPr>
              <w:t>处置工作，对</w:t>
            </w:r>
            <w:r>
              <w:rPr>
                <w:rFonts w:hint="eastAsia"/>
                <w:spacing w:val="16"/>
                <w:lang w:eastAsia="zh-CN"/>
              </w:rPr>
              <w:t>一般</w:t>
            </w:r>
            <w:r>
              <w:rPr>
                <w:spacing w:val="16"/>
              </w:rPr>
              <w:t>生产安全事故和典型事故进行挂牌督办，报告和发布较大生产安</w:t>
            </w:r>
            <w:r>
              <w:rPr>
                <w:spacing w:val="15"/>
              </w:rPr>
              <w:t>全事故信</w:t>
            </w:r>
            <w:r>
              <w:rPr>
                <w:spacing w:val="17"/>
              </w:rPr>
              <w:t>息，指导</w:t>
            </w:r>
            <w:r>
              <w:rPr>
                <w:rFonts w:hint="eastAsia"/>
                <w:spacing w:val="17"/>
                <w:lang w:eastAsia="zh-CN"/>
              </w:rPr>
              <w:t>县有关部门</w:t>
            </w:r>
            <w:r>
              <w:rPr>
                <w:spacing w:val="17"/>
              </w:rPr>
              <w:t>生产安全事故应对等工作。</w:t>
            </w:r>
          </w:p>
        </w:tc>
      </w:tr>
      <w:tr w14:paraId="62D2D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00" w:type="dxa"/>
            <w:vMerge w:val="restart"/>
            <w:tcBorders>
              <w:bottom w:val="nil"/>
            </w:tcBorders>
            <w:textDirection w:val="tbRlV"/>
            <w:vAlign w:val="top"/>
          </w:tcPr>
          <w:p w14:paraId="4B1F1BF5">
            <w:pPr>
              <w:shd w:val="clear"/>
              <w:spacing w:line="335" w:lineRule="auto"/>
              <w:rPr>
                <w:rFonts w:ascii="Arial"/>
                <w:sz w:val="21"/>
              </w:rPr>
            </w:pPr>
          </w:p>
          <w:p w14:paraId="7818948D">
            <w:pPr>
              <w:pStyle w:val="19"/>
              <w:shd w:val="clear"/>
              <w:spacing w:before="80" w:line="202" w:lineRule="auto"/>
              <w:ind w:left="2038"/>
            </w:pPr>
            <w:r>
              <w:rPr>
                <w:spacing w:val="46"/>
              </w:rPr>
              <w:t>副指挥长</w:t>
            </w:r>
          </w:p>
        </w:tc>
        <w:tc>
          <w:tcPr>
            <w:tcW w:w="2615" w:type="dxa"/>
            <w:vAlign w:val="top"/>
          </w:tcPr>
          <w:p w14:paraId="44E076AA">
            <w:pPr>
              <w:shd w:val="clear"/>
              <w:spacing w:line="303" w:lineRule="auto"/>
              <w:rPr>
                <w:rFonts w:ascii="Arial"/>
                <w:sz w:val="21"/>
              </w:rPr>
            </w:pPr>
          </w:p>
          <w:p w14:paraId="65F17439">
            <w:pPr>
              <w:pStyle w:val="19"/>
              <w:shd w:val="clear"/>
              <w:spacing w:before="78" w:line="227" w:lineRule="auto"/>
              <w:ind w:right="294"/>
              <w:jc w:val="both"/>
              <w:rPr>
                <w:rFonts w:hint="eastAsia" w:eastAsia="仿宋"/>
                <w:lang w:eastAsia="zh-CN"/>
              </w:rPr>
            </w:pPr>
            <w:r>
              <w:rPr>
                <w:rFonts w:hint="eastAsia"/>
                <w:spacing w:val="1"/>
                <w:lang w:eastAsia="zh-CN"/>
              </w:rPr>
              <w:t>县政府办公室主任</w:t>
            </w:r>
          </w:p>
        </w:tc>
        <w:tc>
          <w:tcPr>
            <w:tcW w:w="9820" w:type="dxa"/>
            <w:vMerge w:val="continue"/>
            <w:tcBorders>
              <w:top w:val="nil"/>
              <w:bottom w:val="nil"/>
            </w:tcBorders>
            <w:vAlign w:val="top"/>
          </w:tcPr>
          <w:p w14:paraId="3B5BA6A2">
            <w:pPr>
              <w:shd w:val="clear"/>
              <w:rPr>
                <w:rFonts w:ascii="Arial"/>
                <w:sz w:val="21"/>
              </w:rPr>
            </w:pPr>
          </w:p>
        </w:tc>
      </w:tr>
      <w:tr w14:paraId="77F52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00" w:type="dxa"/>
            <w:vMerge w:val="continue"/>
            <w:tcBorders>
              <w:top w:val="nil"/>
              <w:bottom w:val="nil"/>
            </w:tcBorders>
            <w:textDirection w:val="tbRlV"/>
            <w:vAlign w:val="top"/>
          </w:tcPr>
          <w:p w14:paraId="1FCAD11F">
            <w:pPr>
              <w:shd w:val="clear"/>
              <w:rPr>
                <w:rFonts w:ascii="Arial"/>
                <w:sz w:val="21"/>
              </w:rPr>
            </w:pPr>
          </w:p>
        </w:tc>
        <w:tc>
          <w:tcPr>
            <w:tcW w:w="2615" w:type="dxa"/>
            <w:vAlign w:val="top"/>
          </w:tcPr>
          <w:p w14:paraId="6A661507">
            <w:pPr>
              <w:shd w:val="clear"/>
              <w:spacing w:line="305" w:lineRule="auto"/>
              <w:rPr>
                <w:rFonts w:ascii="Arial"/>
                <w:sz w:val="21"/>
              </w:rPr>
            </w:pPr>
          </w:p>
          <w:p w14:paraId="2ACF543B">
            <w:pPr>
              <w:pStyle w:val="19"/>
              <w:shd w:val="clear"/>
              <w:spacing w:before="78" w:line="227" w:lineRule="auto"/>
              <w:ind w:right="289"/>
            </w:pPr>
            <w:r>
              <w:rPr>
                <w:rFonts w:hint="eastAsia"/>
                <w:spacing w:val="6"/>
                <w:lang w:eastAsia="zh-CN"/>
              </w:rPr>
              <w:t>县应急局局长</w:t>
            </w:r>
          </w:p>
        </w:tc>
        <w:tc>
          <w:tcPr>
            <w:tcW w:w="9820" w:type="dxa"/>
            <w:vMerge w:val="continue"/>
            <w:tcBorders>
              <w:top w:val="nil"/>
              <w:bottom w:val="nil"/>
            </w:tcBorders>
            <w:vAlign w:val="top"/>
          </w:tcPr>
          <w:p w14:paraId="46189FBA">
            <w:pPr>
              <w:shd w:val="clear"/>
              <w:rPr>
                <w:rFonts w:ascii="Arial"/>
                <w:sz w:val="21"/>
              </w:rPr>
            </w:pPr>
          </w:p>
        </w:tc>
      </w:tr>
      <w:tr w14:paraId="33B0E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00" w:type="dxa"/>
            <w:vMerge w:val="continue"/>
            <w:tcBorders>
              <w:top w:val="nil"/>
              <w:bottom w:val="nil"/>
            </w:tcBorders>
            <w:textDirection w:val="tbRlV"/>
            <w:vAlign w:val="top"/>
          </w:tcPr>
          <w:p w14:paraId="0CFEC940">
            <w:pPr>
              <w:shd w:val="clear"/>
              <w:rPr>
                <w:rFonts w:ascii="Arial"/>
                <w:sz w:val="21"/>
              </w:rPr>
            </w:pPr>
          </w:p>
        </w:tc>
        <w:tc>
          <w:tcPr>
            <w:tcW w:w="2615" w:type="dxa"/>
            <w:vAlign w:val="top"/>
          </w:tcPr>
          <w:p w14:paraId="2FC5D26B">
            <w:pPr>
              <w:shd w:val="clear"/>
              <w:spacing w:line="305" w:lineRule="auto"/>
              <w:rPr>
                <w:rFonts w:ascii="Arial"/>
                <w:sz w:val="21"/>
              </w:rPr>
            </w:pPr>
          </w:p>
          <w:p w14:paraId="20C9098F">
            <w:pPr>
              <w:pStyle w:val="19"/>
              <w:shd w:val="clear"/>
              <w:spacing w:before="78" w:line="227" w:lineRule="auto"/>
              <w:ind w:right="164"/>
            </w:pPr>
            <w:r>
              <w:rPr>
                <w:rFonts w:hint="eastAsia"/>
                <w:spacing w:val="1"/>
                <w:lang w:eastAsia="zh-CN"/>
              </w:rPr>
              <w:t>县</w:t>
            </w:r>
            <w:r>
              <w:rPr>
                <w:spacing w:val="1"/>
              </w:rPr>
              <w:t>公安局</w:t>
            </w:r>
            <w:r>
              <w:rPr>
                <w:spacing w:val="8"/>
              </w:rPr>
              <w:t>分管副局长</w:t>
            </w:r>
          </w:p>
        </w:tc>
        <w:tc>
          <w:tcPr>
            <w:tcW w:w="9820" w:type="dxa"/>
            <w:vMerge w:val="continue"/>
            <w:tcBorders>
              <w:top w:val="nil"/>
              <w:bottom w:val="nil"/>
            </w:tcBorders>
            <w:vAlign w:val="top"/>
          </w:tcPr>
          <w:p w14:paraId="20923053">
            <w:pPr>
              <w:shd w:val="clear"/>
              <w:rPr>
                <w:rFonts w:ascii="Arial"/>
                <w:sz w:val="21"/>
              </w:rPr>
            </w:pPr>
          </w:p>
        </w:tc>
      </w:tr>
      <w:tr w14:paraId="4097B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1100" w:type="dxa"/>
            <w:vMerge w:val="continue"/>
            <w:tcBorders>
              <w:top w:val="nil"/>
            </w:tcBorders>
            <w:textDirection w:val="tbRlV"/>
            <w:vAlign w:val="top"/>
          </w:tcPr>
          <w:p w14:paraId="0A606045">
            <w:pPr>
              <w:shd w:val="clear"/>
              <w:rPr>
                <w:rFonts w:ascii="Arial"/>
                <w:sz w:val="21"/>
              </w:rPr>
            </w:pPr>
          </w:p>
        </w:tc>
        <w:tc>
          <w:tcPr>
            <w:tcW w:w="2615" w:type="dxa"/>
            <w:vAlign w:val="top"/>
          </w:tcPr>
          <w:p w14:paraId="14D86A8A">
            <w:pPr>
              <w:shd w:val="clear"/>
              <w:spacing w:line="305" w:lineRule="auto"/>
              <w:rPr>
                <w:rFonts w:ascii="Arial"/>
                <w:sz w:val="21"/>
              </w:rPr>
            </w:pPr>
          </w:p>
          <w:p w14:paraId="0AD75F6E">
            <w:pPr>
              <w:pStyle w:val="19"/>
              <w:shd w:val="clear"/>
              <w:spacing w:before="78" w:line="227" w:lineRule="auto"/>
              <w:ind w:right="157"/>
            </w:pPr>
            <w:r>
              <w:rPr>
                <w:spacing w:val="6"/>
              </w:rPr>
              <w:t>消防救援</w:t>
            </w:r>
            <w:r>
              <w:rPr>
                <w:rFonts w:hint="eastAsia"/>
                <w:lang w:eastAsia="zh-CN"/>
              </w:rPr>
              <w:t>大队</w:t>
            </w:r>
            <w:r>
              <w:rPr>
                <w:rFonts w:hint="eastAsia"/>
                <w:spacing w:val="1"/>
                <w:lang w:eastAsia="zh-CN"/>
              </w:rPr>
              <w:t>大队长</w:t>
            </w:r>
          </w:p>
        </w:tc>
        <w:tc>
          <w:tcPr>
            <w:tcW w:w="9820" w:type="dxa"/>
            <w:vMerge w:val="continue"/>
            <w:tcBorders>
              <w:top w:val="nil"/>
            </w:tcBorders>
            <w:vAlign w:val="top"/>
          </w:tcPr>
          <w:p w14:paraId="4BACAE9E">
            <w:pPr>
              <w:shd w:val="clear"/>
              <w:rPr>
                <w:rFonts w:ascii="Arial"/>
                <w:sz w:val="21"/>
              </w:rPr>
            </w:pPr>
          </w:p>
        </w:tc>
      </w:tr>
    </w:tbl>
    <w:p w14:paraId="3B29E29A">
      <w:pPr>
        <w:shd w:val="clear"/>
        <w:rPr>
          <w:rFonts w:ascii="Arial"/>
          <w:sz w:val="21"/>
        </w:rPr>
        <w:sectPr>
          <w:pgSz w:w="16839" w:h="11906"/>
          <w:pgMar w:top="1012" w:right="1482" w:bottom="1552" w:left="1815" w:header="0" w:footer="1273" w:gutter="0"/>
          <w:pgBorders>
            <w:top w:val="none" w:sz="0" w:space="0"/>
            <w:left w:val="none" w:sz="0" w:space="0"/>
            <w:bottom w:val="none" w:sz="0" w:space="0"/>
            <w:right w:val="none" w:sz="0" w:space="0"/>
          </w:pgBorders>
          <w:pgNumType w:fmt="numberInDash"/>
          <w:cols w:space="720" w:num="1"/>
        </w:sectPr>
      </w:pPr>
    </w:p>
    <w:p w14:paraId="0653B284">
      <w:pPr>
        <w:pStyle w:val="2"/>
        <w:shd w:val="clear"/>
      </w:pPr>
    </w:p>
    <w:tbl>
      <w:tblPr>
        <w:tblStyle w:val="18"/>
        <w:tblW w:w="13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2422"/>
        <w:gridCol w:w="10395"/>
      </w:tblGrid>
      <w:tr w14:paraId="52A82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62" w:type="dxa"/>
            <w:tcBorders>
              <w:tl2br w:val="nil"/>
              <w:tr2bl w:val="nil"/>
            </w:tcBorders>
            <w:vAlign w:val="top"/>
          </w:tcPr>
          <w:p w14:paraId="508E1528">
            <w:pPr>
              <w:shd w:val="clear"/>
              <w:spacing w:before="168"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职务</w:t>
            </w:r>
          </w:p>
          <w:p w14:paraId="3D7F89EC">
            <w:pPr>
              <w:shd w:val="clear"/>
              <w:ind w:firstLine="210" w:firstLineChars="100"/>
              <w:jc w:val="center"/>
              <w:rPr>
                <w:rFonts w:ascii="Arial" w:hAnsiTheme="minorHAnsi" w:eastAsiaTheme="minorEastAsia" w:cstheme="minorBidi"/>
                <w:kern w:val="2"/>
                <w:sz w:val="21"/>
                <w:szCs w:val="24"/>
                <w:lang w:val="en-US" w:eastAsia="zh-CN" w:bidi="ar-SA"/>
              </w:rPr>
            </w:pPr>
          </w:p>
        </w:tc>
        <w:tc>
          <w:tcPr>
            <w:tcW w:w="2422" w:type="dxa"/>
            <w:tcBorders>
              <w:tl2br w:val="nil"/>
              <w:tr2bl w:val="nil"/>
            </w:tcBorders>
            <w:vAlign w:val="top"/>
          </w:tcPr>
          <w:p w14:paraId="3CF3A662">
            <w:pPr>
              <w:shd w:val="clear"/>
              <w:spacing w:before="168" w:line="221" w:lineRule="auto"/>
              <w:ind w:left="417" w:leftChars="0"/>
              <w:rPr>
                <w:rFonts w:hint="eastAsia" w:ascii="黑体" w:hAnsi="黑体" w:eastAsia="黑体" w:cs="黑体"/>
                <w:kern w:val="2"/>
                <w:sz w:val="24"/>
                <w:szCs w:val="24"/>
                <w:lang w:val="en-US" w:eastAsia="zh-CN" w:bidi="ar-SA"/>
              </w:rPr>
            </w:pPr>
            <w:r>
              <w:rPr>
                <w:rFonts w:hint="eastAsia" w:ascii="黑体" w:hAnsi="黑体" w:eastAsia="黑体" w:cs="黑体"/>
                <w:sz w:val="24"/>
                <w:szCs w:val="24"/>
                <w:lang w:eastAsia="zh-CN"/>
              </w:rPr>
              <w:t>人员组成</w:t>
            </w:r>
          </w:p>
        </w:tc>
        <w:tc>
          <w:tcPr>
            <w:tcW w:w="10395" w:type="dxa"/>
            <w:tcBorders>
              <w:tl2br w:val="nil"/>
              <w:tr2bl w:val="nil"/>
            </w:tcBorders>
            <w:vAlign w:val="top"/>
          </w:tcPr>
          <w:p w14:paraId="1D8BA0AC">
            <w:pPr>
              <w:shd w:val="clear"/>
              <w:spacing w:before="167" w:line="221" w:lineRule="auto"/>
              <w:ind w:left="4684"/>
              <w:rPr>
                <w:rFonts w:ascii="黑体" w:hAnsi="黑体" w:eastAsia="黑体" w:cs="黑体"/>
                <w:sz w:val="24"/>
                <w:szCs w:val="24"/>
              </w:rPr>
            </w:pPr>
            <w:r>
              <w:rPr>
                <w:rFonts w:ascii="黑体" w:hAnsi="黑体" w:eastAsia="黑体" w:cs="黑体"/>
                <w:spacing w:val="6"/>
                <w:sz w:val="24"/>
                <w:szCs w:val="24"/>
              </w:rPr>
              <w:t>指挥机构职责</w:t>
            </w:r>
          </w:p>
        </w:tc>
      </w:tr>
      <w:tr w14:paraId="26F6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restart"/>
            <w:tcBorders>
              <w:tl2br w:val="nil"/>
              <w:tr2bl w:val="nil"/>
            </w:tcBorders>
            <w:textDirection w:val="tbRlV"/>
            <w:vAlign w:val="top"/>
          </w:tcPr>
          <w:p w14:paraId="1754C887">
            <w:pPr>
              <w:shd w:val="clear"/>
              <w:spacing w:line="335" w:lineRule="auto"/>
              <w:rPr>
                <w:rFonts w:ascii="Arial"/>
                <w:sz w:val="21"/>
              </w:rPr>
            </w:pPr>
          </w:p>
          <w:p w14:paraId="53E68E5B">
            <w:pPr>
              <w:pStyle w:val="19"/>
              <w:shd w:val="clear"/>
              <w:spacing w:before="81" w:line="200" w:lineRule="auto"/>
              <w:ind w:left="3542"/>
            </w:pPr>
            <w:r>
              <w:rPr>
                <w:spacing w:val="5"/>
              </w:rPr>
              <w:t>成员</w:t>
            </w:r>
          </w:p>
        </w:tc>
        <w:tc>
          <w:tcPr>
            <w:tcW w:w="2422" w:type="dxa"/>
            <w:tcBorders>
              <w:tl2br w:val="nil"/>
              <w:tr2bl w:val="nil"/>
            </w:tcBorders>
            <w:vAlign w:val="top"/>
          </w:tcPr>
          <w:p w14:paraId="10DB740C">
            <w:pPr>
              <w:pStyle w:val="19"/>
              <w:shd w:val="clear"/>
              <w:spacing w:before="250" w:line="222" w:lineRule="auto"/>
              <w:ind w:left="174"/>
            </w:pPr>
            <w:r>
              <w:rPr>
                <w:rFonts w:hint="eastAsia"/>
                <w:spacing w:val="5"/>
                <w:lang w:eastAsia="zh-CN"/>
              </w:rPr>
              <w:t>县</w:t>
            </w:r>
            <w:r>
              <w:rPr>
                <w:spacing w:val="5"/>
              </w:rPr>
              <w:t>委宣传部</w:t>
            </w:r>
          </w:p>
        </w:tc>
        <w:tc>
          <w:tcPr>
            <w:tcW w:w="10395" w:type="dxa"/>
            <w:vMerge w:val="restart"/>
            <w:tcBorders>
              <w:tl2br w:val="nil"/>
              <w:tr2bl w:val="nil"/>
            </w:tcBorders>
            <w:vAlign w:val="top"/>
          </w:tcPr>
          <w:p w14:paraId="1A110A37">
            <w:pPr>
              <w:pStyle w:val="19"/>
              <w:shd w:val="clear"/>
              <w:spacing w:before="27" w:line="223" w:lineRule="auto"/>
              <w:ind w:right="119"/>
              <w:rPr>
                <w:rFonts w:hint="eastAsia"/>
                <w:b/>
                <w:bCs/>
                <w:spacing w:val="7"/>
                <w:lang w:eastAsia="zh-CN"/>
              </w:rPr>
            </w:pPr>
          </w:p>
          <w:p w14:paraId="397821D4">
            <w:pPr>
              <w:pStyle w:val="19"/>
              <w:shd w:val="clear"/>
              <w:spacing w:before="27" w:line="223" w:lineRule="auto"/>
              <w:ind w:right="119"/>
              <w:rPr>
                <w:rFonts w:hint="eastAsia"/>
                <w:b/>
                <w:bCs/>
                <w:spacing w:val="7"/>
                <w:lang w:eastAsia="zh-CN"/>
              </w:rPr>
            </w:pPr>
          </w:p>
          <w:p w14:paraId="3676D445">
            <w:pPr>
              <w:pStyle w:val="19"/>
              <w:shd w:val="clear"/>
              <w:spacing w:before="27" w:line="223" w:lineRule="auto"/>
              <w:ind w:right="119"/>
              <w:rPr>
                <w:spacing w:val="2"/>
              </w:rPr>
            </w:pPr>
            <w:r>
              <w:rPr>
                <w:rFonts w:hint="eastAsia"/>
                <w:b/>
                <w:bCs/>
                <w:spacing w:val="7"/>
                <w:lang w:eastAsia="zh-CN"/>
              </w:rPr>
              <w:t>县</w:t>
            </w:r>
            <w:r>
              <w:rPr>
                <w:b/>
                <w:bCs/>
                <w:spacing w:val="7"/>
              </w:rPr>
              <w:t>委宣传部：</w:t>
            </w:r>
            <w:r>
              <w:rPr>
                <w:spacing w:val="7"/>
              </w:rPr>
              <w:t>按照指挥部的统一部署，负责组织协调媒体做好应急处</w:t>
            </w:r>
            <w:r>
              <w:rPr>
                <w:spacing w:val="6"/>
              </w:rPr>
              <w:t>置新闻报道相关工作，正确引</w:t>
            </w:r>
            <w:r>
              <w:rPr>
                <w:spacing w:val="2"/>
              </w:rPr>
              <w:t>导舆论。</w:t>
            </w:r>
          </w:p>
          <w:p w14:paraId="60F1B775">
            <w:pPr>
              <w:pStyle w:val="19"/>
              <w:shd w:val="clear"/>
              <w:spacing w:before="2" w:line="220" w:lineRule="auto"/>
            </w:pPr>
            <w:r>
              <w:rPr>
                <w:rFonts w:hint="eastAsia"/>
                <w:b/>
                <w:bCs/>
                <w:spacing w:val="12"/>
                <w:lang w:eastAsia="zh-CN"/>
              </w:rPr>
              <w:t>县发展改革和科技局</w:t>
            </w:r>
            <w:r>
              <w:rPr>
                <w:spacing w:val="12"/>
              </w:rPr>
              <w:t>：负责协调生产安全事故有关应急救援物资储备调拨</w:t>
            </w:r>
            <w:r>
              <w:rPr>
                <w:spacing w:val="11"/>
              </w:rPr>
              <w:t>工作。</w:t>
            </w:r>
          </w:p>
          <w:p w14:paraId="43C6530B">
            <w:pPr>
              <w:pStyle w:val="19"/>
              <w:shd w:val="clear"/>
              <w:spacing w:before="27" w:line="223" w:lineRule="auto"/>
              <w:ind w:right="119"/>
              <w:rPr>
                <w:spacing w:val="14"/>
              </w:rPr>
            </w:pPr>
            <w:r>
              <w:rPr>
                <w:rFonts w:hint="eastAsia"/>
                <w:b/>
                <w:bCs/>
                <w:spacing w:val="12"/>
                <w:lang w:eastAsia="zh-CN"/>
              </w:rPr>
              <w:t>县</w:t>
            </w:r>
            <w:r>
              <w:rPr>
                <w:b/>
                <w:bCs/>
                <w:spacing w:val="12"/>
              </w:rPr>
              <w:t>工信局：</w:t>
            </w:r>
            <w:r>
              <w:rPr>
                <w:spacing w:val="12"/>
              </w:rPr>
              <w:t>负责建立健全生产安全事故应急通信保障体系，配备与生产安全事故应急工</w:t>
            </w:r>
            <w:r>
              <w:rPr>
                <w:spacing w:val="11"/>
              </w:rPr>
              <w:t>作相适应的通信设备和通信指挥车；组织各通信公司设立临时基站、调集</w:t>
            </w:r>
            <w:r>
              <w:rPr>
                <w:spacing w:val="10"/>
              </w:rPr>
              <w:t>事故现场应急通信保障车，</w:t>
            </w:r>
            <w:r>
              <w:rPr>
                <w:spacing w:val="11"/>
              </w:rPr>
              <w:t>保障应急通信指挥畅通。配合有关部门开展商务领域应急管理组织工作；指导商务领域安全生产，参与商贸行业较大事故抢险救援</w:t>
            </w:r>
            <w:r>
              <w:rPr>
                <w:rFonts w:hint="eastAsia"/>
                <w:spacing w:val="11"/>
                <w:lang w:eastAsia="zh-CN"/>
              </w:rPr>
              <w:t>；</w:t>
            </w:r>
            <w:r>
              <w:rPr>
                <w:spacing w:val="14"/>
              </w:rPr>
              <w:t>参与</w:t>
            </w:r>
            <w:r>
              <w:rPr>
                <w:rFonts w:hint="eastAsia"/>
                <w:spacing w:val="14"/>
                <w:lang w:eastAsia="zh-CN"/>
              </w:rPr>
              <w:t>县</w:t>
            </w:r>
            <w:r>
              <w:rPr>
                <w:spacing w:val="14"/>
              </w:rPr>
              <w:t>属企业的生产安全事故应急救援和善后处置工作。</w:t>
            </w:r>
          </w:p>
          <w:p w14:paraId="486D39DB">
            <w:pPr>
              <w:pStyle w:val="19"/>
              <w:shd w:val="clear"/>
              <w:spacing w:before="4" w:line="222" w:lineRule="auto"/>
              <w:ind w:right="124"/>
            </w:pPr>
            <w:r>
              <w:rPr>
                <w:rFonts w:hint="eastAsia"/>
                <w:b/>
                <w:bCs/>
                <w:spacing w:val="11"/>
                <w:lang w:eastAsia="zh-CN"/>
              </w:rPr>
              <w:t>县</w:t>
            </w:r>
            <w:r>
              <w:rPr>
                <w:b/>
                <w:bCs/>
                <w:spacing w:val="11"/>
              </w:rPr>
              <w:t>公安局：</w:t>
            </w:r>
            <w:r>
              <w:rPr>
                <w:spacing w:val="11"/>
              </w:rPr>
              <w:t>负责事故现场警戒、治安管理工作；协助</w:t>
            </w:r>
            <w:r>
              <w:rPr>
                <w:spacing w:val="10"/>
              </w:rPr>
              <w:t>事故区域人员疏散；打击事故现场的违法</w:t>
            </w:r>
            <w:r>
              <w:rPr>
                <w:spacing w:val="9"/>
              </w:rPr>
              <w:t>犯罪活动；组织、协调事发地交警部门实施事故现场交通疏导，必要时实行交通管制，保障应</w:t>
            </w:r>
            <w:r>
              <w:rPr>
                <w:spacing w:val="11"/>
              </w:rPr>
              <w:t>急救援交通顺畅；参与安全生产事故灾难现场应急抢险救援工作；确认现场遇难人员身份。</w:t>
            </w:r>
          </w:p>
          <w:p w14:paraId="54BC0536">
            <w:pPr>
              <w:pStyle w:val="19"/>
              <w:shd w:val="clear"/>
              <w:spacing w:before="3" w:line="220" w:lineRule="auto"/>
            </w:pPr>
            <w:r>
              <w:rPr>
                <w:rFonts w:hint="eastAsia"/>
                <w:b/>
                <w:bCs/>
                <w:spacing w:val="9"/>
                <w:lang w:eastAsia="zh-CN"/>
              </w:rPr>
              <w:t>县</w:t>
            </w:r>
            <w:r>
              <w:rPr>
                <w:b/>
                <w:bCs/>
                <w:spacing w:val="9"/>
              </w:rPr>
              <w:t>民政局：</w:t>
            </w:r>
            <w:r>
              <w:rPr>
                <w:spacing w:val="9"/>
              </w:rPr>
              <w:t>负责遇难人员遗体火化工作。</w:t>
            </w:r>
          </w:p>
          <w:p w14:paraId="6F5062A4">
            <w:pPr>
              <w:pStyle w:val="19"/>
              <w:shd w:val="clear"/>
              <w:spacing w:before="1" w:line="222" w:lineRule="auto"/>
            </w:pPr>
            <w:r>
              <w:rPr>
                <w:rFonts w:hint="eastAsia"/>
                <w:b/>
                <w:bCs/>
                <w:spacing w:val="10"/>
                <w:lang w:eastAsia="zh-CN"/>
              </w:rPr>
              <w:t>县</w:t>
            </w:r>
            <w:r>
              <w:rPr>
                <w:b/>
                <w:bCs/>
                <w:spacing w:val="10"/>
              </w:rPr>
              <w:t>财政局：</w:t>
            </w:r>
            <w:r>
              <w:rPr>
                <w:spacing w:val="10"/>
              </w:rPr>
              <w:t>负责事故应急处置专项经费的预算、拨付和监督</w:t>
            </w:r>
            <w:r>
              <w:rPr>
                <w:spacing w:val="9"/>
              </w:rPr>
              <w:t>使用。</w:t>
            </w:r>
          </w:p>
          <w:p w14:paraId="64D60412">
            <w:pPr>
              <w:pStyle w:val="19"/>
              <w:shd w:val="clear"/>
              <w:spacing w:before="27" w:line="223" w:lineRule="auto"/>
              <w:ind w:right="119"/>
              <w:rPr>
                <w:spacing w:val="11"/>
              </w:rPr>
            </w:pPr>
            <w:r>
              <w:rPr>
                <w:rFonts w:hint="eastAsia"/>
                <w:b/>
                <w:bCs/>
                <w:spacing w:val="8"/>
                <w:lang w:eastAsia="zh-CN"/>
              </w:rPr>
              <w:t>县自然资源局</w:t>
            </w:r>
            <w:r>
              <w:rPr>
                <w:spacing w:val="8"/>
              </w:rPr>
              <w:t>：负责会同</w:t>
            </w:r>
            <w:r>
              <w:rPr>
                <w:rFonts w:hint="eastAsia"/>
                <w:spacing w:val="8"/>
                <w:lang w:eastAsia="zh-CN"/>
              </w:rPr>
              <w:t>县</w:t>
            </w:r>
            <w:r>
              <w:rPr>
                <w:spacing w:val="8"/>
              </w:rPr>
              <w:t>气象局发布地质灾害风险预警，指导地质灾害应急调查工作，</w:t>
            </w:r>
            <w:r>
              <w:rPr>
                <w:spacing w:val="12"/>
              </w:rPr>
              <w:t>为抢险救援提供地质灾害相关资料、技术指导</w:t>
            </w:r>
            <w:r>
              <w:rPr>
                <w:spacing w:val="11"/>
              </w:rPr>
              <w:t>等信息。</w:t>
            </w:r>
          </w:p>
          <w:p w14:paraId="62072662">
            <w:pPr>
              <w:pStyle w:val="19"/>
              <w:shd w:val="clear"/>
              <w:spacing w:before="4" w:line="222" w:lineRule="auto"/>
              <w:ind w:right="124"/>
            </w:pPr>
            <w:r>
              <w:rPr>
                <w:rFonts w:hint="eastAsia"/>
                <w:b/>
                <w:bCs/>
                <w:spacing w:val="10"/>
                <w:lang w:eastAsia="zh-CN"/>
              </w:rPr>
              <w:t>县交通运输局</w:t>
            </w:r>
            <w:r>
              <w:rPr>
                <w:b/>
                <w:bCs/>
                <w:spacing w:val="10"/>
              </w:rPr>
              <w:t>：</w:t>
            </w:r>
            <w:r>
              <w:rPr>
                <w:spacing w:val="10"/>
              </w:rPr>
              <w:t>负责组织协调交通运力，做好应急救援物资的运输工作；在应急救援期内对执行预防生产安全事故任务的专用车辆免收车辆通行费；在生产安</w:t>
            </w:r>
            <w:r>
              <w:rPr>
                <w:spacing w:val="9"/>
              </w:rPr>
              <w:t>全事故救援时</w:t>
            </w:r>
            <w:r>
              <w:rPr>
                <w:rFonts w:hint="eastAsia"/>
                <w:spacing w:val="9"/>
                <w:lang w:eastAsia="zh-CN"/>
              </w:rPr>
              <w:t>，</w:t>
            </w:r>
            <w:r>
              <w:rPr>
                <w:spacing w:val="9"/>
              </w:rPr>
              <w:t>为应急救援车</w:t>
            </w:r>
            <w:r>
              <w:rPr>
                <w:spacing w:val="12"/>
              </w:rPr>
              <w:t>辆提供绿色通道</w:t>
            </w:r>
            <w:r>
              <w:rPr>
                <w:spacing w:val="11"/>
              </w:rPr>
              <w:t>。</w:t>
            </w:r>
          </w:p>
          <w:p w14:paraId="69536413">
            <w:pPr>
              <w:pStyle w:val="19"/>
              <w:shd w:val="clear"/>
              <w:spacing w:before="5" w:line="222" w:lineRule="auto"/>
              <w:ind w:right="127"/>
            </w:pPr>
            <w:r>
              <w:rPr>
                <w:rFonts w:hint="eastAsia"/>
                <w:b/>
                <w:bCs/>
                <w:spacing w:val="11"/>
                <w:lang w:eastAsia="zh-CN"/>
              </w:rPr>
              <w:t>县卫体局</w:t>
            </w:r>
            <w:r>
              <w:rPr>
                <w:spacing w:val="11"/>
              </w:rPr>
              <w:t>：负责生产安全事故紧急医疗救援工作，组织协调开展</w:t>
            </w:r>
            <w:r>
              <w:rPr>
                <w:spacing w:val="10"/>
              </w:rPr>
              <w:t>伤病员救治、卫生防疫和心理</w:t>
            </w:r>
            <w:r>
              <w:rPr>
                <w:spacing w:val="11"/>
              </w:rPr>
              <w:t>危机干预等紧急医学救援工作；并根据需要和指令，协调调动</w:t>
            </w:r>
            <w:r>
              <w:rPr>
                <w:rFonts w:hint="eastAsia"/>
                <w:spacing w:val="11"/>
                <w:lang w:eastAsia="zh-CN"/>
              </w:rPr>
              <w:t>县级</w:t>
            </w:r>
            <w:r>
              <w:rPr>
                <w:spacing w:val="11"/>
              </w:rPr>
              <w:t>卫生</w:t>
            </w:r>
            <w:r>
              <w:rPr>
                <w:spacing w:val="10"/>
              </w:rPr>
              <w:t>资源，</w:t>
            </w:r>
            <w:r>
              <w:rPr>
                <w:spacing w:val="9"/>
              </w:rPr>
              <w:t>给予指导和支持。</w:t>
            </w:r>
          </w:p>
          <w:p w14:paraId="638E019A">
            <w:pPr>
              <w:pStyle w:val="19"/>
              <w:shd w:val="clear"/>
              <w:spacing w:before="27" w:line="223" w:lineRule="auto"/>
              <w:ind w:right="119"/>
              <w:rPr>
                <w:spacing w:val="11"/>
              </w:rPr>
            </w:pPr>
          </w:p>
          <w:p w14:paraId="5D830FC8">
            <w:pPr>
              <w:pStyle w:val="19"/>
              <w:shd w:val="clear"/>
              <w:spacing w:line="223" w:lineRule="auto"/>
              <w:ind w:right="124"/>
            </w:pPr>
          </w:p>
          <w:p w14:paraId="52074089">
            <w:pPr>
              <w:pStyle w:val="19"/>
              <w:shd w:val="clear"/>
              <w:spacing w:before="3" w:line="222" w:lineRule="auto"/>
              <w:ind w:right="52"/>
            </w:pPr>
          </w:p>
          <w:p w14:paraId="06C6F94E">
            <w:pPr>
              <w:pStyle w:val="19"/>
              <w:shd w:val="clear"/>
              <w:spacing w:before="6" w:line="222" w:lineRule="auto"/>
              <w:ind w:right="122"/>
            </w:pPr>
          </w:p>
        </w:tc>
      </w:tr>
      <w:tr w14:paraId="3BAAE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28493A6C">
            <w:pPr>
              <w:shd w:val="clear"/>
              <w:rPr>
                <w:rFonts w:ascii="Arial"/>
                <w:sz w:val="21"/>
              </w:rPr>
            </w:pPr>
          </w:p>
        </w:tc>
        <w:tc>
          <w:tcPr>
            <w:tcW w:w="2422" w:type="dxa"/>
            <w:tcBorders>
              <w:tl2br w:val="nil"/>
              <w:tr2bl w:val="nil"/>
            </w:tcBorders>
            <w:vAlign w:val="top"/>
          </w:tcPr>
          <w:p w14:paraId="59C626B5">
            <w:pPr>
              <w:pStyle w:val="19"/>
              <w:shd w:val="clear"/>
              <w:spacing w:before="251" w:line="222" w:lineRule="auto"/>
              <w:rPr>
                <w:rFonts w:hint="eastAsia" w:eastAsia="仿宋"/>
                <w:lang w:eastAsia="zh-CN"/>
              </w:rPr>
            </w:pPr>
            <w:r>
              <w:rPr>
                <w:rFonts w:hint="eastAsia"/>
                <w:spacing w:val="5"/>
                <w:lang w:eastAsia="zh-CN"/>
              </w:rPr>
              <w:t>县发展改革和科技局</w:t>
            </w:r>
          </w:p>
        </w:tc>
        <w:tc>
          <w:tcPr>
            <w:tcW w:w="10395" w:type="dxa"/>
            <w:vMerge w:val="continue"/>
            <w:tcBorders>
              <w:tl2br w:val="nil"/>
              <w:tr2bl w:val="nil"/>
            </w:tcBorders>
            <w:vAlign w:val="top"/>
          </w:tcPr>
          <w:p w14:paraId="6A2835B2">
            <w:pPr>
              <w:shd w:val="clear"/>
              <w:rPr>
                <w:rFonts w:ascii="Arial"/>
                <w:sz w:val="21"/>
              </w:rPr>
            </w:pPr>
          </w:p>
        </w:tc>
      </w:tr>
      <w:tr w14:paraId="61D1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13CA1E58">
            <w:pPr>
              <w:shd w:val="clear"/>
              <w:rPr>
                <w:rFonts w:ascii="Arial"/>
                <w:sz w:val="21"/>
              </w:rPr>
            </w:pPr>
          </w:p>
        </w:tc>
        <w:tc>
          <w:tcPr>
            <w:tcW w:w="2422" w:type="dxa"/>
            <w:tcBorders>
              <w:tl2br w:val="nil"/>
              <w:tr2bl w:val="nil"/>
            </w:tcBorders>
            <w:vAlign w:val="top"/>
          </w:tcPr>
          <w:p w14:paraId="666F6828">
            <w:pPr>
              <w:pStyle w:val="19"/>
              <w:shd w:val="clear"/>
              <w:spacing w:before="249" w:line="222" w:lineRule="auto"/>
              <w:ind w:left="306"/>
            </w:pPr>
            <w:r>
              <w:rPr>
                <w:rFonts w:hint="eastAsia"/>
                <w:spacing w:val="1"/>
                <w:lang w:eastAsia="zh-CN"/>
              </w:rPr>
              <w:t>县</w:t>
            </w:r>
            <w:r>
              <w:rPr>
                <w:spacing w:val="1"/>
              </w:rPr>
              <w:t>工信局</w:t>
            </w:r>
          </w:p>
        </w:tc>
        <w:tc>
          <w:tcPr>
            <w:tcW w:w="10395" w:type="dxa"/>
            <w:vMerge w:val="continue"/>
            <w:tcBorders>
              <w:tl2br w:val="nil"/>
              <w:tr2bl w:val="nil"/>
            </w:tcBorders>
            <w:vAlign w:val="top"/>
          </w:tcPr>
          <w:p w14:paraId="25B0F48D">
            <w:pPr>
              <w:shd w:val="clear"/>
              <w:rPr>
                <w:rFonts w:ascii="Arial"/>
                <w:sz w:val="21"/>
              </w:rPr>
            </w:pPr>
          </w:p>
        </w:tc>
      </w:tr>
      <w:tr w14:paraId="0ED4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5A3FF45B">
            <w:pPr>
              <w:shd w:val="clear"/>
              <w:rPr>
                <w:rFonts w:ascii="Arial"/>
                <w:sz w:val="21"/>
              </w:rPr>
            </w:pPr>
          </w:p>
        </w:tc>
        <w:tc>
          <w:tcPr>
            <w:tcW w:w="2422" w:type="dxa"/>
            <w:tcBorders>
              <w:tl2br w:val="nil"/>
              <w:tr2bl w:val="nil"/>
            </w:tcBorders>
            <w:vAlign w:val="top"/>
          </w:tcPr>
          <w:p w14:paraId="07E6F734">
            <w:pPr>
              <w:pStyle w:val="19"/>
              <w:shd w:val="clear"/>
              <w:spacing w:before="251" w:line="222" w:lineRule="auto"/>
              <w:ind w:left="306"/>
            </w:pPr>
            <w:r>
              <w:rPr>
                <w:rFonts w:hint="eastAsia"/>
                <w:spacing w:val="1"/>
                <w:lang w:eastAsia="zh-CN"/>
              </w:rPr>
              <w:t>县</w:t>
            </w:r>
            <w:r>
              <w:rPr>
                <w:spacing w:val="1"/>
              </w:rPr>
              <w:t>公安局</w:t>
            </w:r>
          </w:p>
        </w:tc>
        <w:tc>
          <w:tcPr>
            <w:tcW w:w="10395" w:type="dxa"/>
            <w:vMerge w:val="continue"/>
            <w:tcBorders>
              <w:tl2br w:val="nil"/>
              <w:tr2bl w:val="nil"/>
            </w:tcBorders>
            <w:vAlign w:val="top"/>
          </w:tcPr>
          <w:p w14:paraId="4589DB54">
            <w:pPr>
              <w:shd w:val="clear"/>
              <w:rPr>
                <w:rFonts w:ascii="Arial"/>
                <w:sz w:val="21"/>
              </w:rPr>
            </w:pPr>
          </w:p>
        </w:tc>
      </w:tr>
      <w:tr w14:paraId="4A069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50E60AF9">
            <w:pPr>
              <w:shd w:val="clear"/>
              <w:rPr>
                <w:rFonts w:ascii="Arial"/>
                <w:sz w:val="21"/>
              </w:rPr>
            </w:pPr>
          </w:p>
        </w:tc>
        <w:tc>
          <w:tcPr>
            <w:tcW w:w="2422" w:type="dxa"/>
            <w:tcBorders>
              <w:tl2br w:val="nil"/>
              <w:tr2bl w:val="nil"/>
            </w:tcBorders>
            <w:vAlign w:val="top"/>
          </w:tcPr>
          <w:p w14:paraId="38937B1B">
            <w:pPr>
              <w:pStyle w:val="19"/>
              <w:shd w:val="clear"/>
              <w:spacing w:before="251" w:line="222" w:lineRule="auto"/>
              <w:ind w:left="306"/>
            </w:pPr>
            <w:r>
              <w:rPr>
                <w:rFonts w:hint="eastAsia"/>
                <w:spacing w:val="1"/>
                <w:lang w:eastAsia="zh-CN"/>
              </w:rPr>
              <w:t>县</w:t>
            </w:r>
            <w:r>
              <w:rPr>
                <w:spacing w:val="1"/>
              </w:rPr>
              <w:t>民政局</w:t>
            </w:r>
          </w:p>
        </w:tc>
        <w:tc>
          <w:tcPr>
            <w:tcW w:w="10395" w:type="dxa"/>
            <w:vMerge w:val="continue"/>
            <w:tcBorders>
              <w:tl2br w:val="nil"/>
              <w:tr2bl w:val="nil"/>
            </w:tcBorders>
            <w:vAlign w:val="top"/>
          </w:tcPr>
          <w:p w14:paraId="3C8138A9">
            <w:pPr>
              <w:shd w:val="clear"/>
              <w:rPr>
                <w:rFonts w:ascii="Arial"/>
                <w:sz w:val="21"/>
              </w:rPr>
            </w:pPr>
          </w:p>
        </w:tc>
      </w:tr>
      <w:tr w14:paraId="62C46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22EA9AB6">
            <w:pPr>
              <w:shd w:val="clear"/>
              <w:rPr>
                <w:rFonts w:ascii="Arial"/>
                <w:sz w:val="21"/>
              </w:rPr>
            </w:pPr>
          </w:p>
        </w:tc>
        <w:tc>
          <w:tcPr>
            <w:tcW w:w="2422" w:type="dxa"/>
            <w:tcBorders>
              <w:tl2br w:val="nil"/>
              <w:tr2bl w:val="nil"/>
            </w:tcBorders>
            <w:vAlign w:val="top"/>
          </w:tcPr>
          <w:p w14:paraId="32FA59DC">
            <w:pPr>
              <w:pStyle w:val="19"/>
              <w:shd w:val="clear"/>
              <w:spacing w:before="251" w:line="222" w:lineRule="auto"/>
              <w:ind w:left="306"/>
            </w:pPr>
            <w:r>
              <w:rPr>
                <w:rFonts w:hint="eastAsia"/>
                <w:spacing w:val="1"/>
                <w:lang w:eastAsia="zh-CN"/>
              </w:rPr>
              <w:t>县</w:t>
            </w:r>
            <w:r>
              <w:rPr>
                <w:spacing w:val="1"/>
              </w:rPr>
              <w:t>财政局</w:t>
            </w:r>
          </w:p>
        </w:tc>
        <w:tc>
          <w:tcPr>
            <w:tcW w:w="10395" w:type="dxa"/>
            <w:vMerge w:val="continue"/>
            <w:tcBorders>
              <w:tl2br w:val="nil"/>
              <w:tr2bl w:val="nil"/>
            </w:tcBorders>
            <w:vAlign w:val="top"/>
          </w:tcPr>
          <w:p w14:paraId="51ADA3AC">
            <w:pPr>
              <w:shd w:val="clear"/>
              <w:rPr>
                <w:rFonts w:ascii="Arial"/>
                <w:sz w:val="21"/>
              </w:rPr>
            </w:pPr>
          </w:p>
        </w:tc>
      </w:tr>
      <w:tr w14:paraId="0321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4E808427">
            <w:pPr>
              <w:shd w:val="clear"/>
              <w:rPr>
                <w:rFonts w:ascii="Arial"/>
                <w:sz w:val="21"/>
              </w:rPr>
            </w:pPr>
          </w:p>
        </w:tc>
        <w:tc>
          <w:tcPr>
            <w:tcW w:w="2422" w:type="dxa"/>
            <w:tcBorders>
              <w:tl2br w:val="nil"/>
              <w:tr2bl w:val="nil"/>
            </w:tcBorders>
            <w:vAlign w:val="top"/>
          </w:tcPr>
          <w:p w14:paraId="187CF125">
            <w:pPr>
              <w:pStyle w:val="19"/>
              <w:shd w:val="clear"/>
              <w:spacing w:before="161" w:line="227" w:lineRule="auto"/>
              <w:ind w:left="484" w:right="109" w:hanging="334"/>
            </w:pPr>
            <w:r>
              <w:rPr>
                <w:rFonts w:hint="eastAsia"/>
                <w:spacing w:val="-22"/>
                <w:lang w:eastAsia="zh-CN"/>
              </w:rPr>
              <w:t>县</w:t>
            </w:r>
            <w:r>
              <w:rPr>
                <w:spacing w:val="-22"/>
              </w:rPr>
              <w:t>自然</w:t>
            </w:r>
            <w:r>
              <w:rPr>
                <w:spacing w:val="-17"/>
              </w:rPr>
              <w:t>资源局</w:t>
            </w:r>
          </w:p>
        </w:tc>
        <w:tc>
          <w:tcPr>
            <w:tcW w:w="10395" w:type="dxa"/>
            <w:vMerge w:val="continue"/>
            <w:tcBorders>
              <w:tl2br w:val="nil"/>
              <w:tr2bl w:val="nil"/>
            </w:tcBorders>
            <w:vAlign w:val="top"/>
          </w:tcPr>
          <w:p w14:paraId="6240CEE7">
            <w:pPr>
              <w:shd w:val="clear"/>
              <w:rPr>
                <w:rFonts w:ascii="Arial"/>
                <w:sz w:val="21"/>
              </w:rPr>
            </w:pPr>
          </w:p>
        </w:tc>
      </w:tr>
      <w:tr w14:paraId="32974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62" w:type="dxa"/>
            <w:vMerge w:val="continue"/>
            <w:tcBorders>
              <w:tl2br w:val="nil"/>
              <w:tr2bl w:val="nil"/>
            </w:tcBorders>
            <w:textDirection w:val="tbRlV"/>
            <w:vAlign w:val="top"/>
          </w:tcPr>
          <w:p w14:paraId="6512A986">
            <w:pPr>
              <w:shd w:val="clear"/>
              <w:rPr>
                <w:rFonts w:ascii="Arial"/>
                <w:sz w:val="21"/>
              </w:rPr>
            </w:pPr>
          </w:p>
        </w:tc>
        <w:tc>
          <w:tcPr>
            <w:tcW w:w="2422" w:type="dxa"/>
            <w:tcBorders>
              <w:tl2br w:val="nil"/>
              <w:tr2bl w:val="nil"/>
            </w:tcBorders>
            <w:vAlign w:val="top"/>
          </w:tcPr>
          <w:p w14:paraId="3451EC8E">
            <w:pPr>
              <w:pStyle w:val="19"/>
              <w:shd w:val="clear"/>
              <w:spacing w:before="102" w:line="227" w:lineRule="auto"/>
              <w:ind w:left="674" w:right="164" w:hanging="503"/>
            </w:pPr>
            <w:r>
              <w:rPr>
                <w:rFonts w:hint="eastAsia"/>
                <w:spacing w:val="6"/>
                <w:lang w:eastAsia="zh-CN"/>
              </w:rPr>
              <w:t>县</w:t>
            </w:r>
            <w:r>
              <w:rPr>
                <w:spacing w:val="6"/>
              </w:rPr>
              <w:t>交通运输</w:t>
            </w:r>
            <w:r>
              <w:t>局</w:t>
            </w:r>
          </w:p>
        </w:tc>
        <w:tc>
          <w:tcPr>
            <w:tcW w:w="10395" w:type="dxa"/>
            <w:vMerge w:val="continue"/>
            <w:tcBorders>
              <w:tl2br w:val="nil"/>
              <w:tr2bl w:val="nil"/>
            </w:tcBorders>
            <w:vAlign w:val="top"/>
          </w:tcPr>
          <w:p w14:paraId="2360DD87">
            <w:pPr>
              <w:shd w:val="clear"/>
              <w:rPr>
                <w:rFonts w:ascii="Arial"/>
                <w:sz w:val="21"/>
              </w:rPr>
            </w:pPr>
          </w:p>
        </w:tc>
      </w:tr>
      <w:tr w14:paraId="60912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62" w:type="dxa"/>
            <w:vMerge w:val="continue"/>
            <w:tcBorders>
              <w:tl2br w:val="nil"/>
              <w:tr2bl w:val="nil"/>
            </w:tcBorders>
            <w:textDirection w:val="tbRlV"/>
            <w:vAlign w:val="top"/>
          </w:tcPr>
          <w:p w14:paraId="6217C829">
            <w:pPr>
              <w:shd w:val="clear"/>
              <w:rPr>
                <w:rFonts w:ascii="Arial"/>
                <w:sz w:val="21"/>
              </w:rPr>
            </w:pPr>
          </w:p>
        </w:tc>
        <w:tc>
          <w:tcPr>
            <w:tcW w:w="2422" w:type="dxa"/>
            <w:tcBorders>
              <w:tl2br w:val="nil"/>
              <w:tr2bl w:val="nil"/>
            </w:tcBorders>
            <w:vAlign w:val="top"/>
          </w:tcPr>
          <w:p w14:paraId="42F841CC">
            <w:pPr>
              <w:pStyle w:val="19"/>
              <w:shd w:val="clear"/>
              <w:spacing w:before="251" w:line="222" w:lineRule="auto"/>
              <w:ind w:left="296"/>
            </w:pPr>
            <w:r>
              <w:rPr>
                <w:rFonts w:hint="eastAsia"/>
                <w:spacing w:val="5"/>
                <w:lang w:eastAsia="zh-CN"/>
              </w:rPr>
              <w:t>县卫体局</w:t>
            </w:r>
          </w:p>
        </w:tc>
        <w:tc>
          <w:tcPr>
            <w:tcW w:w="10395" w:type="dxa"/>
            <w:vMerge w:val="continue"/>
            <w:tcBorders>
              <w:tl2br w:val="nil"/>
              <w:tr2bl w:val="nil"/>
            </w:tcBorders>
            <w:vAlign w:val="top"/>
          </w:tcPr>
          <w:p w14:paraId="71E97D41">
            <w:pPr>
              <w:shd w:val="clear"/>
              <w:rPr>
                <w:rFonts w:ascii="Arial"/>
                <w:sz w:val="21"/>
              </w:rPr>
            </w:pPr>
          </w:p>
        </w:tc>
      </w:tr>
    </w:tbl>
    <w:p w14:paraId="3EDB6F15">
      <w:pPr>
        <w:pStyle w:val="4"/>
        <w:shd w:val="clear"/>
      </w:pPr>
    </w:p>
    <w:tbl>
      <w:tblPr>
        <w:tblStyle w:val="18"/>
        <w:tblW w:w="13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445"/>
        <w:gridCol w:w="10318"/>
      </w:tblGrid>
      <w:tr w14:paraId="71D4B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775" w:type="dxa"/>
            <w:vAlign w:val="top"/>
          </w:tcPr>
          <w:p w14:paraId="6D422773">
            <w:pPr>
              <w:shd w:val="clear"/>
              <w:spacing w:before="168" w:line="221" w:lineRule="auto"/>
              <w:ind w:left="417"/>
              <w:rPr>
                <w:rFonts w:hint="eastAsia" w:ascii="黑体" w:hAnsi="黑体" w:eastAsia="黑体" w:cs="黑体"/>
                <w:sz w:val="24"/>
                <w:szCs w:val="24"/>
                <w:lang w:eastAsia="zh-CN"/>
              </w:rPr>
            </w:pPr>
            <w:r>
              <w:rPr>
                <w:rFonts w:hint="eastAsia" w:ascii="黑体" w:hAnsi="黑体" w:eastAsia="黑体" w:cs="黑体"/>
                <w:sz w:val="24"/>
                <w:szCs w:val="24"/>
                <w:lang w:eastAsia="zh-CN"/>
              </w:rPr>
              <w:t>职务</w:t>
            </w:r>
          </w:p>
          <w:p w14:paraId="2BA2B42D">
            <w:pPr>
              <w:shd w:val="clear"/>
              <w:ind w:firstLine="210" w:firstLineChars="100"/>
              <w:jc w:val="center"/>
              <w:rPr>
                <w:rFonts w:ascii="Arial" w:hAnsiTheme="minorHAnsi" w:eastAsiaTheme="minorEastAsia" w:cstheme="minorBidi"/>
                <w:kern w:val="2"/>
                <w:sz w:val="21"/>
                <w:szCs w:val="24"/>
                <w:lang w:val="en-US" w:eastAsia="zh-CN" w:bidi="ar-SA"/>
              </w:rPr>
            </w:pPr>
          </w:p>
        </w:tc>
        <w:tc>
          <w:tcPr>
            <w:tcW w:w="2445" w:type="dxa"/>
            <w:vAlign w:val="top"/>
          </w:tcPr>
          <w:p w14:paraId="6C4EFC83">
            <w:pPr>
              <w:shd w:val="clear"/>
              <w:spacing w:before="168" w:line="221" w:lineRule="auto"/>
              <w:ind w:left="417" w:leftChars="0"/>
              <w:rPr>
                <w:rFonts w:hint="eastAsia" w:ascii="黑体" w:hAnsi="黑体" w:eastAsia="黑体" w:cs="黑体"/>
                <w:kern w:val="2"/>
                <w:sz w:val="24"/>
                <w:szCs w:val="24"/>
                <w:lang w:val="en-US" w:eastAsia="zh-CN" w:bidi="ar-SA"/>
              </w:rPr>
            </w:pPr>
            <w:r>
              <w:rPr>
                <w:rFonts w:hint="eastAsia" w:ascii="黑体" w:hAnsi="黑体" w:eastAsia="黑体" w:cs="黑体"/>
                <w:sz w:val="24"/>
                <w:szCs w:val="24"/>
                <w:lang w:eastAsia="zh-CN"/>
              </w:rPr>
              <w:t>人员组成</w:t>
            </w:r>
          </w:p>
        </w:tc>
        <w:tc>
          <w:tcPr>
            <w:tcW w:w="10318" w:type="dxa"/>
            <w:vAlign w:val="top"/>
          </w:tcPr>
          <w:p w14:paraId="064D1C67">
            <w:pPr>
              <w:shd w:val="clear"/>
              <w:spacing w:before="167" w:line="221" w:lineRule="auto"/>
              <w:ind w:left="4684"/>
              <w:rPr>
                <w:rFonts w:ascii="黑体" w:hAnsi="黑体" w:eastAsia="黑体" w:cs="黑体"/>
                <w:sz w:val="24"/>
                <w:szCs w:val="24"/>
              </w:rPr>
            </w:pPr>
            <w:r>
              <w:rPr>
                <w:rFonts w:ascii="黑体" w:hAnsi="黑体" w:eastAsia="黑体" w:cs="黑体"/>
                <w:spacing w:val="6"/>
                <w:sz w:val="24"/>
                <w:szCs w:val="24"/>
              </w:rPr>
              <w:t>指挥机构职责</w:t>
            </w:r>
          </w:p>
        </w:tc>
      </w:tr>
      <w:tr w14:paraId="71EB0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restart"/>
            <w:tcBorders>
              <w:bottom w:val="nil"/>
            </w:tcBorders>
            <w:textDirection w:val="tbRlV"/>
            <w:vAlign w:val="top"/>
          </w:tcPr>
          <w:p w14:paraId="7281C7FD">
            <w:pPr>
              <w:shd w:val="clear"/>
              <w:spacing w:line="335" w:lineRule="auto"/>
              <w:rPr>
                <w:rFonts w:ascii="Arial"/>
                <w:sz w:val="21"/>
              </w:rPr>
            </w:pPr>
          </w:p>
          <w:p w14:paraId="68B7E510">
            <w:pPr>
              <w:pStyle w:val="19"/>
              <w:shd w:val="clear"/>
              <w:spacing w:before="81" w:line="200" w:lineRule="auto"/>
              <w:ind w:left="3314"/>
            </w:pPr>
            <w:r>
              <w:rPr>
                <w:spacing w:val="5"/>
              </w:rPr>
              <w:t>成员</w:t>
            </w:r>
          </w:p>
        </w:tc>
        <w:tc>
          <w:tcPr>
            <w:tcW w:w="2445" w:type="dxa"/>
            <w:vAlign w:val="top"/>
          </w:tcPr>
          <w:p w14:paraId="6A0F90F0">
            <w:pPr>
              <w:pStyle w:val="19"/>
              <w:shd w:val="clear"/>
              <w:spacing w:before="183" w:line="222" w:lineRule="auto"/>
              <w:ind w:left="150"/>
              <w:jc w:val="left"/>
              <w:rPr>
                <w:rFonts w:hint="eastAsia" w:eastAsia="仿宋"/>
                <w:lang w:eastAsia="zh-CN"/>
              </w:rPr>
            </w:pPr>
            <w:r>
              <w:rPr>
                <w:rFonts w:hint="eastAsia"/>
                <w:spacing w:val="-19"/>
                <w:lang w:eastAsia="zh-CN"/>
              </w:rPr>
              <w:t>市</w:t>
            </w:r>
            <w:r>
              <w:rPr>
                <w:spacing w:val="-19"/>
              </w:rPr>
              <w:t>生态环境局</w:t>
            </w:r>
            <w:r>
              <w:rPr>
                <w:rFonts w:hint="eastAsia"/>
                <w:spacing w:val="-19"/>
                <w:lang w:eastAsia="zh-CN"/>
              </w:rPr>
              <w:t>浑源分局</w:t>
            </w:r>
          </w:p>
        </w:tc>
        <w:tc>
          <w:tcPr>
            <w:tcW w:w="10318" w:type="dxa"/>
            <w:vMerge w:val="restart"/>
            <w:tcBorders>
              <w:bottom w:val="nil"/>
            </w:tcBorders>
            <w:vAlign w:val="top"/>
          </w:tcPr>
          <w:p w14:paraId="5F444538">
            <w:pPr>
              <w:shd w:val="clear"/>
              <w:spacing w:line="294" w:lineRule="auto"/>
              <w:rPr>
                <w:rFonts w:ascii="Arial"/>
                <w:sz w:val="21"/>
              </w:rPr>
            </w:pPr>
          </w:p>
          <w:p w14:paraId="03AF3130">
            <w:pPr>
              <w:shd w:val="clear"/>
              <w:spacing w:line="294" w:lineRule="auto"/>
              <w:rPr>
                <w:rFonts w:ascii="Arial"/>
                <w:sz w:val="21"/>
              </w:rPr>
            </w:pPr>
          </w:p>
          <w:p w14:paraId="61C41262">
            <w:pPr>
              <w:pStyle w:val="19"/>
              <w:shd w:val="clear"/>
              <w:spacing w:before="78" w:line="261" w:lineRule="auto"/>
              <w:ind w:right="124"/>
              <w:rPr>
                <w:spacing w:val="13"/>
              </w:rPr>
            </w:pPr>
            <w:r>
              <w:rPr>
                <w:rFonts w:hint="eastAsia"/>
                <w:b/>
                <w:bCs/>
                <w:spacing w:val="12"/>
                <w:lang w:eastAsia="zh-CN"/>
              </w:rPr>
              <w:t>市</w:t>
            </w:r>
            <w:r>
              <w:rPr>
                <w:b/>
                <w:bCs/>
                <w:spacing w:val="12"/>
              </w:rPr>
              <w:t>生态环境局</w:t>
            </w:r>
            <w:r>
              <w:rPr>
                <w:rFonts w:hint="eastAsia"/>
                <w:b/>
                <w:bCs/>
                <w:spacing w:val="12"/>
                <w:lang w:eastAsia="zh-CN"/>
              </w:rPr>
              <w:t>浑源分局</w:t>
            </w:r>
            <w:r>
              <w:rPr>
                <w:b/>
                <w:bCs/>
                <w:spacing w:val="12"/>
              </w:rPr>
              <w:t>：</w:t>
            </w:r>
            <w:r>
              <w:rPr>
                <w:spacing w:val="12"/>
              </w:rPr>
              <w:t>负责冶金工贸行业生产安全事故对大气、水体、土壤环境</w:t>
            </w:r>
            <w:r>
              <w:rPr>
                <w:spacing w:val="11"/>
              </w:rPr>
              <w:t>污染影响的环境应急</w:t>
            </w:r>
            <w:r>
              <w:rPr>
                <w:spacing w:val="13"/>
              </w:rPr>
              <w:t>监测工作，并根据监测结果及时提出次生环境污染事件的防控建议。</w:t>
            </w:r>
          </w:p>
          <w:p w14:paraId="3F40168D">
            <w:pPr>
              <w:pStyle w:val="19"/>
              <w:shd w:val="clear"/>
              <w:spacing w:before="3" w:line="222" w:lineRule="auto"/>
              <w:ind w:right="115"/>
            </w:pPr>
            <w:r>
              <w:rPr>
                <w:rFonts w:hint="eastAsia"/>
                <w:b/>
                <w:bCs/>
                <w:spacing w:val="11"/>
                <w:lang w:eastAsia="zh-CN"/>
              </w:rPr>
              <w:t>县</w:t>
            </w:r>
            <w:r>
              <w:rPr>
                <w:b/>
                <w:bCs/>
                <w:spacing w:val="11"/>
              </w:rPr>
              <w:t>应急局：</w:t>
            </w:r>
            <w:r>
              <w:rPr>
                <w:spacing w:val="11"/>
              </w:rPr>
              <w:t>承担生产安全事故应急指挥部</w:t>
            </w:r>
            <w:r>
              <w:rPr>
                <w:rFonts w:hint="eastAsia"/>
                <w:spacing w:val="11"/>
                <w:lang w:eastAsia="zh-CN"/>
              </w:rPr>
              <w:t>日常</w:t>
            </w:r>
            <w:r>
              <w:rPr>
                <w:spacing w:val="11"/>
              </w:rPr>
              <w:t>工作；组织协调有关部门做好冶金工贸行业的</w:t>
            </w:r>
            <w:r>
              <w:rPr>
                <w:rFonts w:hint="eastAsia"/>
                <w:spacing w:val="11"/>
                <w:lang w:eastAsia="zh-CN"/>
              </w:rPr>
              <w:t>一般</w:t>
            </w:r>
            <w:r>
              <w:rPr>
                <w:spacing w:val="10"/>
              </w:rPr>
              <w:t>生产安全事故应急处置工作；承担生产安全事故信息的收集、</w:t>
            </w:r>
            <w:r>
              <w:rPr>
                <w:spacing w:val="9"/>
              </w:rPr>
              <w:t>分析、评估、审核和上传下达等</w:t>
            </w:r>
            <w:r>
              <w:rPr>
                <w:spacing w:val="8"/>
              </w:rPr>
              <w:t>工作；会同有关部门组织开展预案宣传、培训和演练，并根据实际情况，适时组织进行评估和修</w:t>
            </w:r>
            <w:r>
              <w:rPr>
                <w:spacing w:val="10"/>
              </w:rPr>
              <w:t>订；完成</w:t>
            </w:r>
            <w:r>
              <w:rPr>
                <w:rFonts w:hint="eastAsia"/>
                <w:spacing w:val="10"/>
                <w:lang w:eastAsia="zh-CN"/>
              </w:rPr>
              <w:t>市</w:t>
            </w:r>
            <w:r>
              <w:rPr>
                <w:spacing w:val="10"/>
              </w:rPr>
              <w:t>应急管理</w:t>
            </w:r>
            <w:r>
              <w:rPr>
                <w:rFonts w:hint="eastAsia"/>
                <w:spacing w:val="10"/>
                <w:lang w:eastAsia="zh-CN"/>
              </w:rPr>
              <w:t>局</w:t>
            </w:r>
            <w:r>
              <w:rPr>
                <w:spacing w:val="10"/>
              </w:rPr>
              <w:t>和</w:t>
            </w:r>
            <w:r>
              <w:rPr>
                <w:rFonts w:hint="eastAsia"/>
                <w:spacing w:val="10"/>
                <w:lang w:eastAsia="zh-CN"/>
              </w:rPr>
              <w:t>县</w:t>
            </w:r>
            <w:r>
              <w:rPr>
                <w:spacing w:val="10"/>
              </w:rPr>
              <w:t>委、</w:t>
            </w:r>
            <w:r>
              <w:rPr>
                <w:rFonts w:hint="eastAsia"/>
                <w:spacing w:val="10"/>
                <w:lang w:eastAsia="zh-CN"/>
              </w:rPr>
              <w:t>县</w:t>
            </w:r>
            <w:r>
              <w:rPr>
                <w:spacing w:val="10"/>
              </w:rPr>
              <w:t>政府交办的其他工作。</w:t>
            </w:r>
          </w:p>
          <w:p w14:paraId="35D796D7">
            <w:pPr>
              <w:pStyle w:val="19"/>
              <w:shd w:val="clear"/>
              <w:spacing w:before="74" w:line="261" w:lineRule="auto"/>
              <w:ind w:right="124"/>
              <w:rPr>
                <w:spacing w:val="9"/>
              </w:rPr>
            </w:pPr>
            <w:r>
              <w:rPr>
                <w:rFonts w:hint="eastAsia"/>
                <w:b/>
                <w:bCs/>
                <w:spacing w:val="13"/>
                <w:lang w:eastAsia="zh-CN"/>
              </w:rPr>
              <w:t>县市</w:t>
            </w:r>
            <w:r>
              <w:rPr>
                <w:b/>
                <w:bCs/>
                <w:spacing w:val="13"/>
              </w:rPr>
              <w:t>场监管局：</w:t>
            </w:r>
            <w:r>
              <w:rPr>
                <w:spacing w:val="13"/>
              </w:rPr>
              <w:t>负责组织协调特种设备事故的应急处置工作,以及事故应急救援</w:t>
            </w:r>
            <w:r>
              <w:rPr>
                <w:spacing w:val="12"/>
              </w:rPr>
              <w:t>中特种设备检验</w:t>
            </w:r>
            <w:r>
              <w:rPr>
                <w:spacing w:val="9"/>
              </w:rPr>
              <w:t>工作,预防次生事故发生；并依法开展特种设备事故调查。</w:t>
            </w:r>
          </w:p>
          <w:p w14:paraId="4F0E3863">
            <w:pPr>
              <w:pStyle w:val="19"/>
              <w:shd w:val="clear"/>
              <w:spacing w:before="4" w:line="220" w:lineRule="auto"/>
            </w:pPr>
            <w:r>
              <w:rPr>
                <w:rFonts w:hint="eastAsia"/>
                <w:b/>
                <w:bCs/>
                <w:spacing w:val="14"/>
                <w:lang w:eastAsia="zh-CN"/>
              </w:rPr>
              <w:t>县</w:t>
            </w:r>
            <w:r>
              <w:rPr>
                <w:b/>
                <w:bCs/>
                <w:spacing w:val="14"/>
              </w:rPr>
              <w:t>人社局：</w:t>
            </w:r>
            <w:r>
              <w:rPr>
                <w:spacing w:val="14"/>
              </w:rPr>
              <w:t>指导做好事故伤亡人员的工伤保险和受灾人</w:t>
            </w:r>
            <w:r>
              <w:rPr>
                <w:spacing w:val="13"/>
              </w:rPr>
              <w:t>员再就业工作。</w:t>
            </w:r>
          </w:p>
          <w:p w14:paraId="1D7CB293">
            <w:pPr>
              <w:pStyle w:val="19"/>
              <w:shd w:val="clear"/>
              <w:spacing w:before="40" w:line="262" w:lineRule="auto"/>
              <w:ind w:right="127"/>
              <w:rPr>
                <w:rFonts w:hint="eastAsia"/>
                <w:spacing w:val="13"/>
                <w:lang w:eastAsia="zh-CN"/>
              </w:rPr>
            </w:pPr>
            <w:r>
              <w:rPr>
                <w:rFonts w:hint="eastAsia"/>
                <w:b/>
                <w:bCs/>
                <w:spacing w:val="14"/>
                <w:lang w:eastAsia="zh-CN"/>
              </w:rPr>
              <w:t>县</w:t>
            </w:r>
            <w:r>
              <w:rPr>
                <w:b/>
                <w:bCs/>
                <w:spacing w:val="14"/>
              </w:rPr>
              <w:t>气象局：</w:t>
            </w:r>
            <w:r>
              <w:rPr>
                <w:spacing w:val="14"/>
              </w:rPr>
              <w:t>负责为事故应急救援提供气象监测、检测和气象预报，与相关成员单位建立安全生</w:t>
            </w:r>
            <w:r>
              <w:rPr>
                <w:spacing w:val="13"/>
              </w:rPr>
              <w:t>产事故灾难气象信息通报机制，为及时预警预防事故发生提供科学依据</w:t>
            </w:r>
            <w:r>
              <w:rPr>
                <w:rFonts w:hint="eastAsia"/>
                <w:spacing w:val="13"/>
                <w:lang w:eastAsia="zh-CN"/>
              </w:rPr>
              <w:t>。</w:t>
            </w:r>
          </w:p>
          <w:p w14:paraId="4A6C526E">
            <w:pPr>
              <w:pStyle w:val="19"/>
              <w:shd w:val="clear"/>
              <w:spacing w:before="74" w:line="220" w:lineRule="auto"/>
            </w:pPr>
            <w:r>
              <w:rPr>
                <w:b/>
                <w:bCs/>
                <w:spacing w:val="14"/>
              </w:rPr>
              <w:t>武警</w:t>
            </w:r>
            <w:r>
              <w:rPr>
                <w:rFonts w:hint="eastAsia"/>
                <w:b/>
                <w:bCs/>
                <w:spacing w:val="14"/>
                <w:lang w:eastAsia="zh-CN"/>
              </w:rPr>
              <w:t>浑源中</w:t>
            </w:r>
            <w:r>
              <w:rPr>
                <w:b/>
                <w:bCs/>
                <w:spacing w:val="14"/>
              </w:rPr>
              <w:t>队：</w:t>
            </w:r>
            <w:r>
              <w:rPr>
                <w:spacing w:val="14"/>
              </w:rPr>
              <w:t>负责组织协调驻同武警部队参加生产安全事故救援工作。</w:t>
            </w:r>
          </w:p>
          <w:p w14:paraId="2D28992B">
            <w:pPr>
              <w:pStyle w:val="19"/>
              <w:shd w:val="clear"/>
              <w:spacing w:before="39" w:line="220" w:lineRule="auto"/>
              <w:rPr>
                <w:spacing w:val="12"/>
              </w:rPr>
            </w:pPr>
            <w:r>
              <w:rPr>
                <w:rFonts w:hint="eastAsia"/>
                <w:b/>
                <w:bCs/>
                <w:spacing w:val="13"/>
                <w:lang w:eastAsia="zh-CN"/>
              </w:rPr>
              <w:t>县</w:t>
            </w:r>
            <w:r>
              <w:rPr>
                <w:b/>
                <w:bCs/>
                <w:spacing w:val="13"/>
              </w:rPr>
              <w:t>消防救援</w:t>
            </w:r>
            <w:r>
              <w:rPr>
                <w:rFonts w:hint="eastAsia"/>
                <w:b/>
                <w:bCs/>
                <w:spacing w:val="13"/>
                <w:lang w:eastAsia="zh-CN"/>
              </w:rPr>
              <w:t>大</w:t>
            </w:r>
            <w:r>
              <w:rPr>
                <w:b/>
                <w:bCs/>
                <w:spacing w:val="13"/>
              </w:rPr>
              <w:t>队：</w:t>
            </w:r>
            <w:r>
              <w:rPr>
                <w:spacing w:val="13"/>
              </w:rPr>
              <w:t>参加生产安全事故应急救援工</w:t>
            </w:r>
            <w:r>
              <w:rPr>
                <w:spacing w:val="12"/>
              </w:rPr>
              <w:t>作。</w:t>
            </w:r>
          </w:p>
          <w:p w14:paraId="6FC6FF20">
            <w:pPr>
              <w:pStyle w:val="19"/>
              <w:shd w:val="clear"/>
              <w:spacing w:before="2" w:line="222" w:lineRule="auto"/>
              <w:ind w:right="124"/>
            </w:pPr>
            <w:r>
              <w:rPr>
                <w:rFonts w:hint="eastAsia"/>
                <w:b/>
                <w:bCs/>
                <w:spacing w:val="3"/>
                <w:lang w:eastAsia="zh-CN"/>
              </w:rPr>
              <w:t>国家金融监督管理总局浑源监管局</w:t>
            </w:r>
            <w:r>
              <w:rPr>
                <w:spacing w:val="3"/>
              </w:rPr>
              <w:t>：负责组织保险公司对投保的伤亡人员和受损财产的查勘</w:t>
            </w:r>
            <w:r>
              <w:rPr>
                <w:spacing w:val="8"/>
              </w:rPr>
              <w:t>和理赔工作。</w:t>
            </w:r>
          </w:p>
          <w:p w14:paraId="6B80BC2C">
            <w:pPr>
              <w:pStyle w:val="19"/>
              <w:shd w:val="clear"/>
              <w:spacing w:before="74" w:line="261" w:lineRule="auto"/>
              <w:ind w:right="127"/>
            </w:pPr>
            <w:r>
              <w:rPr>
                <w:rFonts w:hint="eastAsia"/>
                <w:b/>
                <w:bCs/>
                <w:spacing w:val="16"/>
                <w:lang w:eastAsia="zh-CN"/>
              </w:rPr>
              <w:t>浑源</w:t>
            </w:r>
            <w:r>
              <w:rPr>
                <w:b/>
                <w:bCs/>
                <w:spacing w:val="16"/>
              </w:rPr>
              <w:t>供电</w:t>
            </w:r>
            <w:r>
              <w:rPr>
                <w:rFonts w:hint="eastAsia"/>
                <w:b/>
                <w:bCs/>
                <w:spacing w:val="16"/>
                <w:lang w:eastAsia="zh-CN"/>
              </w:rPr>
              <w:t>支</w:t>
            </w:r>
            <w:r>
              <w:rPr>
                <w:b/>
                <w:bCs/>
                <w:spacing w:val="16"/>
              </w:rPr>
              <w:t>公司：</w:t>
            </w:r>
            <w:r>
              <w:rPr>
                <w:spacing w:val="16"/>
              </w:rPr>
              <w:t>负责所辖供电系统生产安全事故应急处置工作</w:t>
            </w:r>
            <w:r>
              <w:rPr>
                <w:rFonts w:hint="eastAsia"/>
                <w:spacing w:val="-68"/>
                <w:lang w:eastAsia="zh-CN"/>
              </w:rPr>
              <w:t>，</w:t>
            </w:r>
            <w:r>
              <w:rPr>
                <w:spacing w:val="16"/>
              </w:rPr>
              <w:t>保障生产安全事故</w:t>
            </w:r>
            <w:r>
              <w:rPr>
                <w:spacing w:val="15"/>
              </w:rPr>
              <w:t>处置过程中</w:t>
            </w:r>
            <w:r>
              <w:rPr>
                <w:spacing w:val="7"/>
              </w:rPr>
              <w:t>供电工作。</w:t>
            </w:r>
          </w:p>
          <w:p w14:paraId="584E67B3">
            <w:pPr>
              <w:pStyle w:val="19"/>
              <w:shd w:val="clear"/>
              <w:spacing w:before="42" w:line="261" w:lineRule="auto"/>
              <w:ind w:left="118" w:right="127" w:firstLine="4"/>
            </w:pPr>
          </w:p>
        </w:tc>
      </w:tr>
      <w:tr w14:paraId="67A20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7993F777">
            <w:pPr>
              <w:shd w:val="clear"/>
              <w:rPr>
                <w:rFonts w:ascii="Arial"/>
                <w:sz w:val="21"/>
              </w:rPr>
            </w:pPr>
          </w:p>
        </w:tc>
        <w:tc>
          <w:tcPr>
            <w:tcW w:w="2445" w:type="dxa"/>
            <w:vAlign w:val="top"/>
          </w:tcPr>
          <w:p w14:paraId="2970D07C">
            <w:pPr>
              <w:pStyle w:val="19"/>
              <w:shd w:val="clear"/>
              <w:spacing w:before="182" w:line="222" w:lineRule="auto"/>
              <w:ind w:left="150"/>
              <w:jc w:val="left"/>
            </w:pPr>
            <w:r>
              <w:rPr>
                <w:rFonts w:hint="eastAsia"/>
                <w:spacing w:val="-19"/>
                <w:lang w:eastAsia="zh-CN"/>
              </w:rPr>
              <w:t>县</w:t>
            </w:r>
            <w:r>
              <w:rPr>
                <w:spacing w:val="-19"/>
              </w:rPr>
              <w:t>应急管理局</w:t>
            </w:r>
          </w:p>
        </w:tc>
        <w:tc>
          <w:tcPr>
            <w:tcW w:w="10318" w:type="dxa"/>
            <w:vMerge w:val="continue"/>
            <w:tcBorders>
              <w:top w:val="nil"/>
              <w:bottom w:val="nil"/>
            </w:tcBorders>
            <w:vAlign w:val="top"/>
          </w:tcPr>
          <w:p w14:paraId="76DB57AA">
            <w:pPr>
              <w:shd w:val="clear"/>
              <w:rPr>
                <w:rFonts w:ascii="Arial"/>
                <w:sz w:val="21"/>
              </w:rPr>
            </w:pPr>
          </w:p>
        </w:tc>
      </w:tr>
      <w:tr w14:paraId="2EEC2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74A0AB0A">
            <w:pPr>
              <w:shd w:val="clear"/>
              <w:rPr>
                <w:rFonts w:ascii="Arial"/>
                <w:sz w:val="21"/>
              </w:rPr>
            </w:pPr>
          </w:p>
        </w:tc>
        <w:tc>
          <w:tcPr>
            <w:tcW w:w="2445" w:type="dxa"/>
            <w:vAlign w:val="top"/>
          </w:tcPr>
          <w:p w14:paraId="3A5616AB">
            <w:pPr>
              <w:pStyle w:val="19"/>
              <w:shd w:val="clear"/>
              <w:spacing w:before="268" w:line="222" w:lineRule="auto"/>
              <w:ind w:left="150"/>
              <w:jc w:val="left"/>
            </w:pPr>
            <w:r>
              <w:rPr>
                <w:rFonts w:hint="eastAsia"/>
                <w:spacing w:val="-19"/>
                <w:lang w:eastAsia="zh-CN"/>
              </w:rPr>
              <w:t>县市场监督管理局</w:t>
            </w:r>
          </w:p>
        </w:tc>
        <w:tc>
          <w:tcPr>
            <w:tcW w:w="10318" w:type="dxa"/>
            <w:vMerge w:val="continue"/>
            <w:tcBorders>
              <w:top w:val="nil"/>
              <w:bottom w:val="nil"/>
            </w:tcBorders>
            <w:vAlign w:val="top"/>
          </w:tcPr>
          <w:p w14:paraId="5E6F2596">
            <w:pPr>
              <w:shd w:val="clear"/>
              <w:rPr>
                <w:rFonts w:ascii="Arial"/>
                <w:sz w:val="21"/>
              </w:rPr>
            </w:pPr>
          </w:p>
        </w:tc>
      </w:tr>
      <w:tr w14:paraId="3C699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76BED735">
            <w:pPr>
              <w:shd w:val="clear"/>
              <w:rPr>
                <w:rFonts w:ascii="Arial"/>
                <w:sz w:val="21"/>
              </w:rPr>
            </w:pPr>
          </w:p>
        </w:tc>
        <w:tc>
          <w:tcPr>
            <w:tcW w:w="2445" w:type="dxa"/>
            <w:vAlign w:val="top"/>
          </w:tcPr>
          <w:p w14:paraId="40772D4E">
            <w:pPr>
              <w:pStyle w:val="19"/>
              <w:shd w:val="clear"/>
              <w:spacing w:before="269" w:line="222" w:lineRule="auto"/>
              <w:ind w:left="306"/>
              <w:jc w:val="left"/>
            </w:pPr>
            <w:r>
              <w:rPr>
                <w:rFonts w:hint="eastAsia"/>
                <w:spacing w:val="1"/>
                <w:lang w:eastAsia="zh-CN"/>
              </w:rPr>
              <w:t>县</w:t>
            </w:r>
            <w:r>
              <w:rPr>
                <w:spacing w:val="1"/>
              </w:rPr>
              <w:t>人社局</w:t>
            </w:r>
          </w:p>
        </w:tc>
        <w:tc>
          <w:tcPr>
            <w:tcW w:w="10318" w:type="dxa"/>
            <w:vMerge w:val="continue"/>
            <w:tcBorders>
              <w:top w:val="nil"/>
              <w:bottom w:val="nil"/>
            </w:tcBorders>
            <w:vAlign w:val="top"/>
          </w:tcPr>
          <w:p w14:paraId="295BA686">
            <w:pPr>
              <w:shd w:val="clear"/>
              <w:rPr>
                <w:rFonts w:ascii="Arial"/>
                <w:sz w:val="21"/>
              </w:rPr>
            </w:pPr>
          </w:p>
        </w:tc>
      </w:tr>
      <w:tr w14:paraId="4A86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3F17CE18">
            <w:pPr>
              <w:shd w:val="clear"/>
              <w:rPr>
                <w:rFonts w:ascii="Arial"/>
                <w:sz w:val="21"/>
              </w:rPr>
            </w:pPr>
          </w:p>
        </w:tc>
        <w:tc>
          <w:tcPr>
            <w:tcW w:w="2445" w:type="dxa"/>
            <w:vAlign w:val="top"/>
          </w:tcPr>
          <w:p w14:paraId="559A7FF0">
            <w:pPr>
              <w:pStyle w:val="19"/>
              <w:shd w:val="clear"/>
              <w:spacing w:before="269" w:line="222" w:lineRule="auto"/>
              <w:ind w:left="301"/>
              <w:jc w:val="left"/>
            </w:pPr>
            <w:r>
              <w:rPr>
                <w:rFonts w:hint="eastAsia"/>
                <w:spacing w:val="3"/>
                <w:lang w:eastAsia="zh-CN"/>
              </w:rPr>
              <w:t>县</w:t>
            </w:r>
            <w:r>
              <w:rPr>
                <w:spacing w:val="3"/>
              </w:rPr>
              <w:t>气象局</w:t>
            </w:r>
          </w:p>
        </w:tc>
        <w:tc>
          <w:tcPr>
            <w:tcW w:w="10318" w:type="dxa"/>
            <w:vMerge w:val="continue"/>
            <w:tcBorders>
              <w:top w:val="nil"/>
              <w:bottom w:val="nil"/>
            </w:tcBorders>
            <w:vAlign w:val="top"/>
          </w:tcPr>
          <w:p w14:paraId="6BB39F1E">
            <w:pPr>
              <w:shd w:val="clear"/>
              <w:rPr>
                <w:rFonts w:ascii="Arial"/>
                <w:sz w:val="21"/>
              </w:rPr>
            </w:pPr>
          </w:p>
        </w:tc>
      </w:tr>
      <w:tr w14:paraId="25887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4CE35A1D">
            <w:pPr>
              <w:shd w:val="clear"/>
              <w:rPr>
                <w:rFonts w:ascii="Arial"/>
                <w:sz w:val="21"/>
              </w:rPr>
            </w:pPr>
          </w:p>
        </w:tc>
        <w:tc>
          <w:tcPr>
            <w:tcW w:w="2445" w:type="dxa"/>
            <w:vAlign w:val="top"/>
          </w:tcPr>
          <w:p w14:paraId="586267DF">
            <w:pPr>
              <w:pStyle w:val="19"/>
              <w:shd w:val="clear"/>
              <w:spacing w:before="87" w:line="244" w:lineRule="auto"/>
              <w:ind w:right="294"/>
              <w:jc w:val="left"/>
              <w:rPr>
                <w:rFonts w:hint="eastAsia" w:eastAsia="仿宋"/>
                <w:lang w:eastAsia="zh-CN"/>
              </w:rPr>
            </w:pPr>
            <w:r>
              <w:rPr>
                <w:spacing w:val="3"/>
              </w:rPr>
              <w:t>武警</w:t>
            </w:r>
            <w:r>
              <w:rPr>
                <w:rFonts w:hint="eastAsia"/>
                <w:spacing w:val="3"/>
                <w:lang w:eastAsia="zh-CN"/>
              </w:rPr>
              <w:t>浑源中队</w:t>
            </w:r>
          </w:p>
        </w:tc>
        <w:tc>
          <w:tcPr>
            <w:tcW w:w="10318" w:type="dxa"/>
            <w:vMerge w:val="continue"/>
            <w:tcBorders>
              <w:top w:val="nil"/>
              <w:bottom w:val="nil"/>
            </w:tcBorders>
            <w:vAlign w:val="top"/>
          </w:tcPr>
          <w:p w14:paraId="3F7378D7">
            <w:pPr>
              <w:shd w:val="clear"/>
              <w:rPr>
                <w:rFonts w:ascii="Arial"/>
                <w:sz w:val="21"/>
              </w:rPr>
            </w:pPr>
          </w:p>
        </w:tc>
      </w:tr>
      <w:tr w14:paraId="4C8B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6A08A624">
            <w:pPr>
              <w:shd w:val="clear"/>
              <w:rPr>
                <w:rFonts w:ascii="Arial"/>
                <w:sz w:val="21"/>
              </w:rPr>
            </w:pPr>
          </w:p>
        </w:tc>
        <w:tc>
          <w:tcPr>
            <w:tcW w:w="2445" w:type="dxa"/>
            <w:vAlign w:val="top"/>
          </w:tcPr>
          <w:p w14:paraId="6C0032C2">
            <w:pPr>
              <w:pStyle w:val="19"/>
              <w:shd w:val="clear"/>
              <w:spacing w:before="86" w:line="244" w:lineRule="auto"/>
              <w:ind w:right="164"/>
              <w:jc w:val="left"/>
            </w:pPr>
            <w:r>
              <w:rPr>
                <w:rFonts w:hint="eastAsia"/>
                <w:spacing w:val="7"/>
                <w:lang w:eastAsia="zh-CN"/>
              </w:rPr>
              <w:t>县</w:t>
            </w:r>
            <w:r>
              <w:rPr>
                <w:spacing w:val="7"/>
              </w:rPr>
              <w:t>消防救援</w:t>
            </w:r>
            <w:r>
              <w:rPr>
                <w:rFonts w:hint="eastAsia"/>
                <w:spacing w:val="7"/>
                <w:lang w:eastAsia="zh-CN"/>
              </w:rPr>
              <w:t>大</w:t>
            </w:r>
            <w:r>
              <w:rPr>
                <w:spacing w:val="-1"/>
              </w:rPr>
              <w:t>队</w:t>
            </w:r>
          </w:p>
        </w:tc>
        <w:tc>
          <w:tcPr>
            <w:tcW w:w="10318" w:type="dxa"/>
            <w:vMerge w:val="continue"/>
            <w:tcBorders>
              <w:top w:val="nil"/>
              <w:bottom w:val="nil"/>
            </w:tcBorders>
            <w:vAlign w:val="top"/>
          </w:tcPr>
          <w:p w14:paraId="07DCFE5F">
            <w:pPr>
              <w:shd w:val="clear"/>
              <w:rPr>
                <w:rFonts w:ascii="Arial"/>
                <w:sz w:val="21"/>
              </w:rPr>
            </w:pPr>
          </w:p>
        </w:tc>
      </w:tr>
      <w:tr w14:paraId="220D0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vMerge w:val="continue"/>
            <w:tcBorders>
              <w:top w:val="nil"/>
              <w:bottom w:val="nil"/>
            </w:tcBorders>
            <w:textDirection w:val="tbRlV"/>
            <w:vAlign w:val="top"/>
          </w:tcPr>
          <w:p w14:paraId="73DE119E">
            <w:pPr>
              <w:shd w:val="clear"/>
              <w:rPr>
                <w:rFonts w:ascii="Arial"/>
                <w:sz w:val="21"/>
              </w:rPr>
            </w:pPr>
          </w:p>
        </w:tc>
        <w:tc>
          <w:tcPr>
            <w:tcW w:w="2445" w:type="dxa"/>
            <w:vAlign w:val="top"/>
          </w:tcPr>
          <w:p w14:paraId="55324169">
            <w:pPr>
              <w:pStyle w:val="19"/>
              <w:shd w:val="clear"/>
              <w:spacing w:before="87" w:line="244" w:lineRule="auto"/>
              <w:ind w:right="157"/>
              <w:jc w:val="left"/>
            </w:pPr>
            <w:r>
              <w:rPr>
                <w:rFonts w:hint="eastAsia"/>
                <w:spacing w:val="16"/>
                <w:lang w:eastAsia="zh-CN"/>
              </w:rPr>
              <w:t>国家金融监督管理总局浑源监管局</w:t>
            </w:r>
          </w:p>
        </w:tc>
        <w:tc>
          <w:tcPr>
            <w:tcW w:w="10318" w:type="dxa"/>
            <w:vMerge w:val="continue"/>
            <w:tcBorders>
              <w:top w:val="nil"/>
              <w:bottom w:val="nil"/>
            </w:tcBorders>
            <w:vAlign w:val="top"/>
          </w:tcPr>
          <w:p w14:paraId="710BA758">
            <w:pPr>
              <w:shd w:val="clear"/>
              <w:rPr>
                <w:rFonts w:ascii="Arial"/>
                <w:sz w:val="21"/>
              </w:rPr>
            </w:pPr>
          </w:p>
        </w:tc>
      </w:tr>
      <w:tr w14:paraId="2347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75" w:type="dxa"/>
            <w:vMerge w:val="continue"/>
            <w:tcBorders>
              <w:top w:val="nil"/>
            </w:tcBorders>
            <w:textDirection w:val="tbRlV"/>
            <w:vAlign w:val="top"/>
          </w:tcPr>
          <w:p w14:paraId="596B6094">
            <w:pPr>
              <w:shd w:val="clear"/>
              <w:rPr>
                <w:rFonts w:ascii="Arial"/>
                <w:sz w:val="21"/>
              </w:rPr>
            </w:pPr>
          </w:p>
        </w:tc>
        <w:tc>
          <w:tcPr>
            <w:tcW w:w="2445" w:type="dxa"/>
            <w:vAlign w:val="top"/>
          </w:tcPr>
          <w:p w14:paraId="10BE2CBB">
            <w:pPr>
              <w:pStyle w:val="19"/>
              <w:shd w:val="clear"/>
              <w:spacing w:before="89" w:line="245" w:lineRule="auto"/>
              <w:ind w:right="289"/>
              <w:jc w:val="left"/>
            </w:pPr>
            <w:r>
              <w:rPr>
                <w:rFonts w:hint="eastAsia"/>
                <w:spacing w:val="6"/>
                <w:lang w:eastAsia="zh-CN"/>
              </w:rPr>
              <w:t>浑源供</w:t>
            </w:r>
            <w:r>
              <w:rPr>
                <w:spacing w:val="6"/>
              </w:rPr>
              <w:t>电</w:t>
            </w:r>
            <w:r>
              <w:rPr>
                <w:rFonts w:hint="eastAsia"/>
                <w:spacing w:val="6"/>
                <w:lang w:eastAsia="zh-CN"/>
              </w:rPr>
              <w:t>支</w:t>
            </w:r>
            <w:r>
              <w:rPr>
                <w:spacing w:val="-5"/>
              </w:rPr>
              <w:t>公司</w:t>
            </w:r>
          </w:p>
        </w:tc>
        <w:tc>
          <w:tcPr>
            <w:tcW w:w="10318" w:type="dxa"/>
            <w:vMerge w:val="continue"/>
            <w:tcBorders>
              <w:top w:val="nil"/>
            </w:tcBorders>
            <w:vAlign w:val="top"/>
          </w:tcPr>
          <w:p w14:paraId="1CC323B5">
            <w:pPr>
              <w:shd w:val="clear"/>
              <w:rPr>
                <w:rFonts w:ascii="Arial"/>
                <w:sz w:val="21"/>
              </w:rPr>
            </w:pPr>
          </w:p>
        </w:tc>
      </w:tr>
    </w:tbl>
    <w:p w14:paraId="4E054369">
      <w:pPr>
        <w:shd w:val="clear"/>
        <w:spacing w:line="249" w:lineRule="auto"/>
        <w:rPr>
          <w:rFonts w:ascii="Arial"/>
          <w:sz w:val="21"/>
        </w:rPr>
      </w:pPr>
    </w:p>
    <w:p w14:paraId="59C16D50">
      <w:pPr>
        <w:shd w:val="clear"/>
        <w:spacing w:line="249" w:lineRule="auto"/>
        <w:rPr>
          <w:rFonts w:ascii="Arial"/>
          <w:sz w:val="21"/>
        </w:rPr>
      </w:pPr>
    </w:p>
    <w:p w14:paraId="36C1F910">
      <w:pPr>
        <w:shd w:val="clear"/>
        <w:spacing w:before="91" w:line="184" w:lineRule="auto"/>
        <w:ind w:left="120"/>
        <w:rPr>
          <w:rFonts w:ascii="宋体" w:hAnsi="宋体" w:eastAsia="宋体" w:cs="宋体"/>
          <w:sz w:val="28"/>
          <w:szCs w:val="28"/>
        </w:rPr>
        <w:sectPr>
          <w:footerReference r:id="rId5" w:type="default"/>
          <w:pgSz w:w="16839" w:h="11906"/>
          <w:pgMar w:top="1012" w:right="1482" w:bottom="400" w:left="1815" w:header="0" w:footer="1134" w:gutter="0"/>
          <w:pgBorders>
            <w:top w:val="none" w:sz="0" w:space="0"/>
            <w:left w:val="none" w:sz="0" w:space="0"/>
            <w:bottom w:val="none" w:sz="0" w:space="0"/>
            <w:right w:val="none" w:sz="0" w:space="0"/>
          </w:pgBorders>
          <w:pgNumType w:fmt="numberInDash" w:start="14"/>
          <w:cols w:space="720" w:num="1"/>
        </w:sectPr>
      </w:pPr>
    </w:p>
    <w:p w14:paraId="7EB479B5">
      <w:pPr>
        <w:shd w:val="clear"/>
        <w:spacing w:before="101" w:line="230" w:lineRule="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附件3</w:t>
      </w:r>
    </w:p>
    <w:p w14:paraId="229F0855">
      <w:pPr>
        <w:shd w:val="clear"/>
        <w:spacing w:before="295" w:line="225" w:lineRule="auto"/>
        <w:ind w:left="2100"/>
        <w:rPr>
          <w:rFonts w:ascii="黑体" w:hAnsi="黑体" w:eastAsia="黑体" w:cs="黑体"/>
          <w:sz w:val="43"/>
          <w:szCs w:val="43"/>
        </w:rPr>
      </w:pPr>
      <w:r>
        <w:rPr>
          <w:rFonts w:hint="eastAsia" w:ascii="黑体" w:hAnsi="黑体" w:eastAsia="黑体" w:cs="黑体"/>
          <w:spacing w:val="30"/>
          <w:sz w:val="43"/>
          <w:szCs w:val="43"/>
          <w:lang w:eastAsia="zh-CN"/>
        </w:rPr>
        <w:t>浑源县</w:t>
      </w:r>
      <w:r>
        <w:rPr>
          <w:rFonts w:ascii="黑体" w:hAnsi="黑体" w:eastAsia="黑体" w:cs="黑体"/>
          <w:spacing w:val="30"/>
          <w:sz w:val="43"/>
          <w:szCs w:val="43"/>
        </w:rPr>
        <w:t>冶金工贸行业生产安全事故现场指挥部</w:t>
      </w:r>
    </w:p>
    <w:p w14:paraId="3231B016">
      <w:pPr>
        <w:shd w:val="clear"/>
        <w:spacing w:line="200" w:lineRule="exact"/>
      </w:pPr>
    </w:p>
    <w:tbl>
      <w:tblPr>
        <w:tblStyle w:val="18"/>
        <w:tblW w:w="134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0"/>
        <w:gridCol w:w="2702"/>
        <w:gridCol w:w="8626"/>
      </w:tblGrid>
      <w:tr w14:paraId="1CEBD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090" w:type="dxa"/>
            <w:vAlign w:val="top"/>
          </w:tcPr>
          <w:p w14:paraId="333C6B1C">
            <w:pPr>
              <w:shd w:val="clear"/>
              <w:rPr>
                <w:rFonts w:hint="eastAsia" w:ascii="Arial"/>
                <w:sz w:val="21"/>
                <w:lang w:eastAsia="zh-CN"/>
              </w:rPr>
            </w:pPr>
          </w:p>
          <w:p w14:paraId="6339FE31">
            <w:pPr>
              <w:shd w:val="clear"/>
              <w:ind w:firstLine="630" w:firstLineChars="300"/>
              <w:rPr>
                <w:rFonts w:hint="eastAsia" w:ascii="Arial" w:eastAsiaTheme="minorEastAsia"/>
                <w:sz w:val="21"/>
                <w:lang w:eastAsia="zh-CN"/>
              </w:rPr>
            </w:pPr>
            <w:r>
              <w:rPr>
                <w:rFonts w:hint="eastAsia" w:ascii="Arial"/>
                <w:sz w:val="21"/>
                <w:lang w:eastAsia="zh-CN"/>
              </w:rPr>
              <w:t>职务</w:t>
            </w:r>
          </w:p>
        </w:tc>
        <w:tc>
          <w:tcPr>
            <w:tcW w:w="2702" w:type="dxa"/>
            <w:vAlign w:val="top"/>
          </w:tcPr>
          <w:p w14:paraId="1945F743">
            <w:pPr>
              <w:shd w:val="clear"/>
              <w:spacing w:before="248" w:line="222" w:lineRule="auto"/>
              <w:ind w:left="910"/>
              <w:rPr>
                <w:rFonts w:hint="eastAsia" w:ascii="黑体" w:hAnsi="黑体" w:eastAsia="黑体" w:cs="黑体"/>
                <w:sz w:val="24"/>
                <w:szCs w:val="24"/>
                <w:lang w:eastAsia="zh-CN"/>
              </w:rPr>
            </w:pPr>
            <w:r>
              <w:rPr>
                <w:rFonts w:hint="eastAsia" w:ascii="黑体" w:hAnsi="黑体" w:eastAsia="黑体" w:cs="黑体"/>
                <w:sz w:val="24"/>
                <w:szCs w:val="24"/>
                <w:lang w:eastAsia="zh-CN"/>
              </w:rPr>
              <w:t>人员组成</w:t>
            </w:r>
          </w:p>
        </w:tc>
        <w:tc>
          <w:tcPr>
            <w:tcW w:w="8626" w:type="dxa"/>
            <w:vAlign w:val="top"/>
          </w:tcPr>
          <w:p w14:paraId="1451EFB9">
            <w:pPr>
              <w:shd w:val="clear"/>
              <w:spacing w:before="248" w:line="221" w:lineRule="auto"/>
              <w:ind w:left="3480"/>
              <w:rPr>
                <w:rFonts w:ascii="黑体" w:hAnsi="黑体" w:eastAsia="黑体" w:cs="黑体"/>
                <w:sz w:val="24"/>
                <w:szCs w:val="24"/>
              </w:rPr>
            </w:pPr>
            <w:r>
              <w:rPr>
                <w:rFonts w:ascii="黑体" w:hAnsi="黑体" w:eastAsia="黑体" w:cs="黑体"/>
                <w:spacing w:val="13"/>
                <w:sz w:val="24"/>
                <w:szCs w:val="24"/>
              </w:rPr>
              <w:t>现场指挥机构职责</w:t>
            </w:r>
          </w:p>
        </w:tc>
      </w:tr>
      <w:tr w14:paraId="07B1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2090" w:type="dxa"/>
            <w:vAlign w:val="top"/>
          </w:tcPr>
          <w:p w14:paraId="5F40C615">
            <w:pPr>
              <w:shd w:val="clear"/>
              <w:spacing w:line="301" w:lineRule="auto"/>
              <w:rPr>
                <w:rFonts w:ascii="Arial"/>
                <w:sz w:val="21"/>
              </w:rPr>
            </w:pPr>
          </w:p>
          <w:p w14:paraId="376DED51">
            <w:pPr>
              <w:shd w:val="clear"/>
              <w:spacing w:line="301" w:lineRule="auto"/>
              <w:rPr>
                <w:rFonts w:ascii="Arial"/>
                <w:sz w:val="21"/>
              </w:rPr>
            </w:pPr>
          </w:p>
          <w:p w14:paraId="250426EA">
            <w:pPr>
              <w:pStyle w:val="19"/>
              <w:shd w:val="clear"/>
              <w:spacing w:before="78" w:line="222" w:lineRule="auto"/>
              <w:ind w:left="548"/>
            </w:pPr>
            <w:r>
              <w:rPr>
                <w:spacing w:val="2"/>
              </w:rPr>
              <w:t>指挥长</w:t>
            </w:r>
          </w:p>
        </w:tc>
        <w:tc>
          <w:tcPr>
            <w:tcW w:w="2702" w:type="dxa"/>
            <w:vAlign w:val="top"/>
          </w:tcPr>
          <w:p w14:paraId="55981585">
            <w:pPr>
              <w:shd w:val="clear"/>
              <w:spacing w:line="301" w:lineRule="auto"/>
              <w:rPr>
                <w:rFonts w:ascii="Arial"/>
                <w:sz w:val="21"/>
              </w:rPr>
            </w:pPr>
          </w:p>
          <w:p w14:paraId="37C0F202">
            <w:pPr>
              <w:shd w:val="clear"/>
              <w:spacing w:line="301" w:lineRule="auto"/>
              <w:rPr>
                <w:rFonts w:ascii="Arial"/>
                <w:sz w:val="21"/>
              </w:rPr>
            </w:pPr>
          </w:p>
          <w:p w14:paraId="0ED75811">
            <w:pPr>
              <w:pStyle w:val="19"/>
              <w:shd w:val="clear"/>
              <w:spacing w:before="78" w:line="222" w:lineRule="auto"/>
              <w:ind w:left="273"/>
            </w:pPr>
            <w:r>
              <w:rPr>
                <w:spacing w:val="12"/>
              </w:rPr>
              <w:t>指挥部指挥长担任</w:t>
            </w:r>
          </w:p>
        </w:tc>
        <w:tc>
          <w:tcPr>
            <w:tcW w:w="8626" w:type="dxa"/>
            <w:vAlign w:val="top"/>
          </w:tcPr>
          <w:p w14:paraId="1AB6FFD1">
            <w:pPr>
              <w:shd w:val="clear"/>
              <w:spacing w:line="283" w:lineRule="auto"/>
              <w:rPr>
                <w:rFonts w:ascii="Arial"/>
                <w:sz w:val="21"/>
              </w:rPr>
            </w:pPr>
          </w:p>
          <w:p w14:paraId="15A21339">
            <w:pPr>
              <w:pStyle w:val="19"/>
              <w:shd w:val="clear"/>
              <w:spacing w:before="78" w:line="238" w:lineRule="auto"/>
              <w:ind w:left="130" w:right="110" w:hanging="3"/>
              <w:jc w:val="both"/>
            </w:pPr>
            <w:r>
              <w:rPr>
                <w:spacing w:val="-6"/>
              </w:rPr>
              <w:t>指挥长职责：全面负责事故的组织救援工作，制定事</w:t>
            </w:r>
            <w:r>
              <w:rPr>
                <w:spacing w:val="-7"/>
              </w:rPr>
              <w:t>故救援实施方案，调度指挥各方</w:t>
            </w:r>
            <w:r>
              <w:rPr>
                <w:spacing w:val="-1"/>
              </w:rPr>
              <w:t>面救援力量，处置紧急情况。对不服从指挥、行动迟缓、贻误战机、消极怠工、工作失职的相关责任人可建议</w:t>
            </w:r>
            <w:r>
              <w:rPr>
                <w:rFonts w:hint="eastAsia"/>
                <w:spacing w:val="-1"/>
                <w:lang w:eastAsia="zh-CN"/>
              </w:rPr>
              <w:t>县</w:t>
            </w:r>
            <w:r>
              <w:rPr>
                <w:spacing w:val="-1"/>
              </w:rPr>
              <w:t>政府按照组织程序给予行政纪律处分。</w:t>
            </w:r>
          </w:p>
        </w:tc>
      </w:tr>
      <w:tr w14:paraId="5D52C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2090" w:type="dxa"/>
            <w:vAlign w:val="top"/>
          </w:tcPr>
          <w:p w14:paraId="7410C0B4">
            <w:pPr>
              <w:shd w:val="clear"/>
              <w:spacing w:line="338" w:lineRule="auto"/>
              <w:rPr>
                <w:rFonts w:ascii="Arial"/>
                <w:sz w:val="21"/>
              </w:rPr>
            </w:pPr>
          </w:p>
          <w:p w14:paraId="0DCE1F32">
            <w:pPr>
              <w:shd w:val="clear"/>
              <w:spacing w:line="339" w:lineRule="auto"/>
              <w:rPr>
                <w:rFonts w:ascii="Arial"/>
                <w:sz w:val="21"/>
              </w:rPr>
            </w:pPr>
          </w:p>
          <w:p w14:paraId="685AADAA">
            <w:pPr>
              <w:pStyle w:val="19"/>
              <w:shd w:val="clear"/>
              <w:spacing w:before="78" w:line="222" w:lineRule="auto"/>
              <w:ind w:left="444"/>
            </w:pPr>
            <w:r>
              <w:rPr>
                <w:spacing w:val="-3"/>
              </w:rPr>
              <w:t>副指挥长</w:t>
            </w:r>
          </w:p>
        </w:tc>
        <w:tc>
          <w:tcPr>
            <w:tcW w:w="2702" w:type="dxa"/>
            <w:vAlign w:val="top"/>
          </w:tcPr>
          <w:p w14:paraId="47D5D7B1">
            <w:pPr>
              <w:pStyle w:val="19"/>
              <w:shd w:val="clear"/>
              <w:spacing w:before="279" w:line="238" w:lineRule="auto"/>
              <w:ind w:left="143" w:right="143" w:hanging="2"/>
              <w:jc w:val="both"/>
            </w:pPr>
            <w:r>
              <w:rPr>
                <w:spacing w:val="8"/>
              </w:rPr>
              <w:t>指挥部副指挥长和县</w:t>
            </w:r>
            <w:r>
              <w:rPr>
                <w:spacing w:val="13"/>
              </w:rPr>
              <w:t>人民政府主要负责人或分管负责人担任</w:t>
            </w:r>
          </w:p>
        </w:tc>
        <w:tc>
          <w:tcPr>
            <w:tcW w:w="8626" w:type="dxa"/>
            <w:vAlign w:val="top"/>
          </w:tcPr>
          <w:p w14:paraId="3448148D">
            <w:pPr>
              <w:shd w:val="clear"/>
              <w:spacing w:line="357" w:lineRule="auto"/>
              <w:rPr>
                <w:rFonts w:ascii="Arial"/>
                <w:sz w:val="21"/>
              </w:rPr>
            </w:pPr>
          </w:p>
          <w:p w14:paraId="73B43140">
            <w:pPr>
              <w:pStyle w:val="19"/>
              <w:shd w:val="clear"/>
              <w:spacing w:before="78" w:line="234" w:lineRule="auto"/>
              <w:ind w:left="132" w:right="170"/>
            </w:pPr>
            <w:r>
              <w:rPr>
                <w:spacing w:val="14"/>
              </w:rPr>
              <w:t>副指挥长职责：协助指挥长监督检查各项工作的落实，承办前线指挥部分配的</w:t>
            </w:r>
            <w:r>
              <w:rPr>
                <w:spacing w:val="-2"/>
              </w:rPr>
              <w:t>工作任务。</w:t>
            </w:r>
          </w:p>
        </w:tc>
      </w:tr>
      <w:tr w14:paraId="0D82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2090" w:type="dxa"/>
            <w:vAlign w:val="top"/>
          </w:tcPr>
          <w:p w14:paraId="479766D7">
            <w:pPr>
              <w:shd w:val="clear"/>
              <w:spacing w:line="389" w:lineRule="auto"/>
              <w:rPr>
                <w:rFonts w:ascii="Arial"/>
                <w:sz w:val="21"/>
              </w:rPr>
            </w:pPr>
          </w:p>
          <w:p w14:paraId="6CF3743E">
            <w:pPr>
              <w:pStyle w:val="19"/>
              <w:shd w:val="clear"/>
              <w:spacing w:before="78" w:line="236" w:lineRule="auto"/>
              <w:ind w:right="286"/>
            </w:pPr>
            <w:r>
              <w:rPr>
                <w:spacing w:val="9"/>
              </w:rPr>
              <w:t>应急处置组</w:t>
            </w:r>
            <w:r>
              <w:rPr>
                <w:spacing w:val="-2"/>
              </w:rPr>
              <w:t>组长</w:t>
            </w:r>
          </w:p>
        </w:tc>
        <w:tc>
          <w:tcPr>
            <w:tcW w:w="2702" w:type="dxa"/>
            <w:vAlign w:val="top"/>
          </w:tcPr>
          <w:p w14:paraId="023D1A31">
            <w:pPr>
              <w:pStyle w:val="19"/>
              <w:shd w:val="clear"/>
              <w:spacing w:before="311" w:line="222" w:lineRule="auto"/>
            </w:pPr>
            <w:r>
              <w:rPr>
                <w:rFonts w:hint="eastAsia"/>
                <w:spacing w:val="11"/>
                <w:lang w:eastAsia="zh-CN"/>
              </w:rPr>
              <w:t>县</w:t>
            </w:r>
            <w:r>
              <w:rPr>
                <w:spacing w:val="11"/>
              </w:rPr>
              <w:t>应急局或发生事故</w:t>
            </w:r>
            <w:r>
              <w:rPr>
                <w:spacing w:val="5"/>
              </w:rPr>
              <w:t>的行业主管部门</w:t>
            </w:r>
            <w:r>
              <w:rPr>
                <w:spacing w:val="1"/>
              </w:rPr>
              <w:t>领导</w:t>
            </w:r>
          </w:p>
        </w:tc>
        <w:tc>
          <w:tcPr>
            <w:tcW w:w="8626" w:type="dxa"/>
            <w:vMerge w:val="restart"/>
            <w:tcBorders>
              <w:bottom w:val="nil"/>
            </w:tcBorders>
            <w:vAlign w:val="top"/>
          </w:tcPr>
          <w:p w14:paraId="7B1D3BE2">
            <w:pPr>
              <w:shd w:val="clear"/>
              <w:spacing w:line="254" w:lineRule="auto"/>
              <w:rPr>
                <w:rFonts w:ascii="Arial"/>
                <w:sz w:val="21"/>
              </w:rPr>
            </w:pPr>
          </w:p>
          <w:p w14:paraId="2D80F499">
            <w:pPr>
              <w:shd w:val="clear"/>
              <w:spacing w:line="254" w:lineRule="auto"/>
              <w:rPr>
                <w:rFonts w:ascii="Arial"/>
                <w:sz w:val="21"/>
              </w:rPr>
            </w:pPr>
          </w:p>
          <w:p w14:paraId="3C57EAA1">
            <w:pPr>
              <w:shd w:val="clear"/>
              <w:spacing w:line="255" w:lineRule="auto"/>
              <w:rPr>
                <w:rFonts w:ascii="Arial"/>
                <w:sz w:val="21"/>
              </w:rPr>
            </w:pPr>
          </w:p>
          <w:p w14:paraId="58DCFAE0">
            <w:pPr>
              <w:pStyle w:val="19"/>
              <w:shd w:val="clear"/>
              <w:spacing w:before="78" w:line="225" w:lineRule="auto"/>
              <w:ind w:left="127"/>
              <w:rPr>
                <w:b/>
                <w:bCs/>
              </w:rPr>
            </w:pPr>
            <w:r>
              <w:rPr>
                <w:b/>
                <w:bCs/>
                <w:spacing w:val="7"/>
              </w:rPr>
              <w:t>应急处置组</w:t>
            </w:r>
          </w:p>
          <w:p w14:paraId="18308BC2">
            <w:pPr>
              <w:pStyle w:val="19"/>
              <w:shd w:val="clear"/>
              <w:spacing w:before="27" w:line="234" w:lineRule="auto"/>
              <w:ind w:left="132" w:right="36" w:hanging="12"/>
            </w:pPr>
            <w:r>
              <w:rPr>
                <w:spacing w:val="-1"/>
              </w:rPr>
              <w:t>组长单位：</w:t>
            </w:r>
            <w:r>
              <w:rPr>
                <w:rFonts w:hint="eastAsia"/>
                <w:spacing w:val="-1"/>
                <w:lang w:eastAsia="zh-CN"/>
              </w:rPr>
              <w:t>县</w:t>
            </w:r>
            <w:r>
              <w:rPr>
                <w:spacing w:val="-1"/>
              </w:rPr>
              <w:t>应急局或发生事故的行业主管部门。成员单位：</w:t>
            </w:r>
            <w:r>
              <w:rPr>
                <w:rFonts w:hint="eastAsia"/>
                <w:spacing w:val="-1"/>
                <w:lang w:eastAsia="zh-CN"/>
              </w:rPr>
              <w:t>县</w:t>
            </w:r>
            <w:r>
              <w:rPr>
                <w:spacing w:val="-1"/>
              </w:rPr>
              <w:t>工信局、</w:t>
            </w:r>
            <w:r>
              <w:rPr>
                <w:rFonts w:hint="eastAsia"/>
                <w:spacing w:val="-2"/>
                <w:lang w:eastAsia="zh-CN"/>
              </w:rPr>
              <w:t>县</w:t>
            </w:r>
            <w:r>
              <w:rPr>
                <w:spacing w:val="-2"/>
              </w:rPr>
              <w:t>公安局、</w:t>
            </w:r>
            <w:r>
              <w:rPr>
                <w:rFonts w:hint="eastAsia"/>
                <w:spacing w:val="10"/>
                <w:lang w:eastAsia="zh-CN"/>
              </w:rPr>
              <w:t>县</w:t>
            </w:r>
            <w:r>
              <w:rPr>
                <w:spacing w:val="10"/>
              </w:rPr>
              <w:t>消防救援</w:t>
            </w:r>
            <w:r>
              <w:rPr>
                <w:rFonts w:hint="eastAsia"/>
                <w:spacing w:val="10"/>
                <w:lang w:eastAsia="zh-CN"/>
              </w:rPr>
              <w:t>大队</w:t>
            </w:r>
            <w:r>
              <w:rPr>
                <w:spacing w:val="10"/>
              </w:rPr>
              <w:t>、武警</w:t>
            </w:r>
            <w:r>
              <w:rPr>
                <w:rFonts w:hint="eastAsia"/>
                <w:spacing w:val="10"/>
                <w:lang w:eastAsia="zh-CN"/>
              </w:rPr>
              <w:t>浑源中队</w:t>
            </w:r>
            <w:r>
              <w:rPr>
                <w:spacing w:val="10"/>
              </w:rPr>
              <w:t>等和事发</w:t>
            </w:r>
            <w:r>
              <w:rPr>
                <w:rFonts w:hint="eastAsia"/>
                <w:spacing w:val="10"/>
                <w:lang w:eastAsia="zh-CN"/>
              </w:rPr>
              <w:t>单位</w:t>
            </w:r>
            <w:r>
              <w:rPr>
                <w:spacing w:val="10"/>
              </w:rPr>
              <w:t>。</w:t>
            </w:r>
          </w:p>
          <w:p w14:paraId="300A3C62">
            <w:pPr>
              <w:pStyle w:val="19"/>
              <w:shd w:val="clear"/>
              <w:spacing w:before="29" w:line="238" w:lineRule="auto"/>
              <w:ind w:left="126" w:right="55" w:firstLine="14"/>
              <w:jc w:val="both"/>
            </w:pPr>
            <w:r>
              <mc:AlternateContent>
                <mc:Choice Requires="wps">
                  <w:drawing>
                    <wp:anchor distT="0" distB="0" distL="114300" distR="114300" simplePos="0" relativeHeight="251659264" behindDoc="0" locked="0" layoutInCell="1" allowOverlap="1">
                      <wp:simplePos x="0" y="0"/>
                      <wp:positionH relativeFrom="column">
                        <wp:posOffset>4941570</wp:posOffset>
                      </wp:positionH>
                      <wp:positionV relativeFrom="paragraph">
                        <wp:posOffset>715645</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14:paraId="78C574FE">
                                  <w:pPr>
                                    <w:spacing w:before="20" w:line="184" w:lineRule="auto"/>
                                    <w:rPr>
                                      <w:rFonts w:ascii="宋体" w:hAnsi="宋体" w:eastAsia="宋体" w:cs="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89.1pt;margin-top:56.35pt;height:6pt;width:6pt;z-index:251659264;mso-width-relative:page;mso-height-relative:page;" filled="f" stroked="f" coordsize="21600,21600" o:gfxdata="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SBmnDYAAAACwEAAA8AAAAAAAAAAQAgAAAAIgAAAGRycy9kb3ducmV2LnhtbFBLAQIUABQAAAAI&#10;AIdO4kB0JOEYtAEAAG8DAAAOAAAAAAAAAAEAIAAAACcBAABkcnMvZTJvRG9jLnhtbFBLBQYAAAAA&#10;BgAGAFkBAABNBQAAAAA=&#10;">
                      <v:fill on="f" focussize="0,0"/>
                      <v:stroke on="f"/>
                      <v:imagedata o:title=""/>
                      <o:lock v:ext="edit" aspectratio="f"/>
                      <v:textbox inset="0mm,0mm,0mm,0mm">
                        <w:txbxContent>
                          <w:p w14:paraId="78C574FE">
                            <w:pPr>
                              <w:spacing w:before="20" w:line="184" w:lineRule="auto"/>
                              <w:rPr>
                                <w:rFonts w:ascii="宋体" w:hAnsi="宋体" w:eastAsia="宋体" w:cs="宋体"/>
                                <w:sz w:val="28"/>
                                <w:szCs w:val="28"/>
                              </w:rPr>
                            </w:pPr>
                          </w:p>
                        </w:txbxContent>
                      </v:textbox>
                    </v:shape>
                  </w:pict>
                </mc:Fallback>
              </mc:AlternateContent>
            </w:r>
            <w:r>
              <w:rPr>
                <w:spacing w:val="6"/>
              </w:rPr>
              <w:t>主要职责：传达上级指示、文件精神；收集汇总相</w:t>
            </w:r>
            <w:r>
              <w:rPr>
                <w:spacing w:val="5"/>
              </w:rPr>
              <w:t>关情况资料；组织技术研判；</w:t>
            </w:r>
            <w:r>
              <w:rPr>
                <w:spacing w:val="9"/>
              </w:rPr>
              <w:t>制定现场应急处置方案报</w:t>
            </w:r>
            <w:r>
              <w:rPr>
                <w:rFonts w:hint="eastAsia"/>
                <w:spacing w:val="9"/>
                <w:lang w:eastAsia="zh-CN"/>
              </w:rPr>
              <w:t>县</w:t>
            </w:r>
            <w:r>
              <w:rPr>
                <w:spacing w:val="9"/>
              </w:rPr>
              <w:t>指挥部并组织实施；组织协调</w:t>
            </w:r>
            <w:r>
              <w:rPr>
                <w:spacing w:val="8"/>
              </w:rPr>
              <w:t>对遇难遇险人员</w:t>
            </w:r>
            <w:r>
              <w:rPr>
                <w:spacing w:val="5"/>
              </w:rPr>
              <w:t>搜救等工作；组织应急专家、队伍、装备、物资参与事故应急处</w:t>
            </w:r>
            <w:r>
              <w:rPr>
                <w:spacing w:val="4"/>
              </w:rPr>
              <w:t>置。</w:t>
            </w:r>
          </w:p>
        </w:tc>
      </w:tr>
      <w:tr w14:paraId="2FDDA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2090" w:type="dxa"/>
            <w:vAlign w:val="top"/>
          </w:tcPr>
          <w:p w14:paraId="6048A809">
            <w:pPr>
              <w:shd w:val="clear"/>
              <w:spacing w:line="245" w:lineRule="auto"/>
              <w:rPr>
                <w:rFonts w:ascii="Arial"/>
                <w:sz w:val="21"/>
              </w:rPr>
            </w:pPr>
          </w:p>
          <w:p w14:paraId="5E83C31C">
            <w:pPr>
              <w:shd w:val="clear"/>
              <w:spacing w:line="246" w:lineRule="auto"/>
              <w:rPr>
                <w:rFonts w:ascii="Arial"/>
                <w:sz w:val="21"/>
              </w:rPr>
            </w:pPr>
          </w:p>
          <w:p w14:paraId="2C61D767">
            <w:pPr>
              <w:shd w:val="clear"/>
              <w:spacing w:line="246" w:lineRule="auto"/>
              <w:rPr>
                <w:rFonts w:ascii="Arial"/>
                <w:sz w:val="21"/>
              </w:rPr>
            </w:pPr>
          </w:p>
          <w:p w14:paraId="53601CDB">
            <w:pPr>
              <w:shd w:val="clear"/>
              <w:spacing w:line="246" w:lineRule="auto"/>
              <w:rPr>
                <w:rFonts w:ascii="Arial"/>
                <w:sz w:val="21"/>
              </w:rPr>
            </w:pPr>
          </w:p>
          <w:p w14:paraId="1C669267">
            <w:pPr>
              <w:pStyle w:val="19"/>
              <w:shd w:val="clear"/>
              <w:spacing w:before="78" w:line="224" w:lineRule="auto"/>
              <w:ind w:left="686"/>
            </w:pPr>
            <w:r>
              <w:rPr>
                <w:spacing w:val="-8"/>
              </w:rPr>
              <w:t>成员</w:t>
            </w:r>
          </w:p>
        </w:tc>
        <w:tc>
          <w:tcPr>
            <w:tcW w:w="2702" w:type="dxa"/>
            <w:vAlign w:val="top"/>
          </w:tcPr>
          <w:p w14:paraId="569A9969">
            <w:pPr>
              <w:pStyle w:val="19"/>
              <w:shd w:val="clear"/>
              <w:spacing w:before="31" w:line="223" w:lineRule="auto"/>
            </w:pPr>
            <w:r>
              <w:rPr>
                <w:rFonts w:hint="eastAsia"/>
                <w:spacing w:val="-2"/>
                <w:lang w:eastAsia="zh-CN"/>
              </w:rPr>
              <w:t>县</w:t>
            </w:r>
            <w:r>
              <w:rPr>
                <w:spacing w:val="-2"/>
              </w:rPr>
              <w:t>工信局、</w:t>
            </w:r>
            <w:r>
              <w:rPr>
                <w:rFonts w:hint="eastAsia"/>
                <w:spacing w:val="-2"/>
                <w:lang w:eastAsia="zh-CN"/>
              </w:rPr>
              <w:t>县</w:t>
            </w:r>
            <w:r>
              <w:rPr>
                <w:spacing w:val="-2"/>
              </w:rPr>
              <w:t>能源局、</w:t>
            </w:r>
            <w:r>
              <w:rPr>
                <w:rFonts w:hint="eastAsia"/>
                <w:spacing w:val="-14"/>
                <w:lang w:eastAsia="zh-CN"/>
              </w:rPr>
              <w:t>县</w:t>
            </w:r>
            <w:r>
              <w:rPr>
                <w:spacing w:val="-14"/>
              </w:rPr>
              <w:t>公安局、</w:t>
            </w:r>
            <w:r>
              <w:rPr>
                <w:rFonts w:hint="eastAsia"/>
                <w:spacing w:val="-3"/>
                <w:lang w:eastAsia="zh-CN"/>
              </w:rPr>
              <w:t>县</w:t>
            </w:r>
            <w:r>
              <w:rPr>
                <w:spacing w:val="-3"/>
              </w:rPr>
              <w:t>消防救</w:t>
            </w:r>
            <w:r>
              <w:rPr>
                <w:spacing w:val="1"/>
              </w:rPr>
              <w:t>援</w:t>
            </w:r>
            <w:r>
              <w:rPr>
                <w:rFonts w:hint="eastAsia"/>
                <w:spacing w:val="1"/>
                <w:lang w:eastAsia="zh-CN"/>
              </w:rPr>
              <w:t>大</w:t>
            </w:r>
            <w:r>
              <w:rPr>
                <w:spacing w:val="1"/>
              </w:rPr>
              <w:t>队等和事发</w:t>
            </w:r>
            <w:r>
              <w:rPr>
                <w:rFonts w:hint="eastAsia"/>
                <w:spacing w:val="1"/>
                <w:lang w:eastAsia="zh-CN"/>
              </w:rPr>
              <w:t>单位</w:t>
            </w:r>
            <w:r>
              <w:rPr>
                <w:spacing w:val="-1"/>
              </w:rPr>
              <w:t>。</w:t>
            </w:r>
          </w:p>
        </w:tc>
        <w:tc>
          <w:tcPr>
            <w:tcW w:w="8626" w:type="dxa"/>
            <w:vMerge w:val="continue"/>
            <w:tcBorders>
              <w:top w:val="nil"/>
            </w:tcBorders>
            <w:vAlign w:val="top"/>
          </w:tcPr>
          <w:p w14:paraId="27140F57">
            <w:pPr>
              <w:shd w:val="clear"/>
              <w:rPr>
                <w:rFonts w:ascii="Arial"/>
                <w:sz w:val="21"/>
              </w:rPr>
            </w:pPr>
          </w:p>
        </w:tc>
      </w:tr>
    </w:tbl>
    <w:p w14:paraId="43E9EDCE">
      <w:pPr>
        <w:shd w:val="clear"/>
        <w:spacing w:line="190" w:lineRule="exact"/>
        <w:rPr>
          <w:rFonts w:ascii="宋体" w:hAnsi="宋体" w:eastAsia="宋体" w:cs="宋体"/>
          <w:sz w:val="28"/>
          <w:szCs w:val="28"/>
        </w:rPr>
        <w:sectPr>
          <w:pgSz w:w="16839" w:h="11906"/>
          <w:pgMar w:top="1012" w:right="1798" w:bottom="400" w:left="1627" w:header="0" w:footer="1134" w:gutter="0"/>
          <w:pgBorders>
            <w:top w:val="none" w:sz="0" w:space="0"/>
            <w:left w:val="none" w:sz="0" w:space="0"/>
            <w:bottom w:val="none" w:sz="0" w:space="0"/>
            <w:right w:val="none" w:sz="0" w:space="0"/>
          </w:pgBorders>
          <w:pgNumType w:fmt="numberInDash"/>
          <w:cols w:space="720" w:num="1"/>
        </w:sectPr>
      </w:pPr>
    </w:p>
    <w:p w14:paraId="7AA3D577">
      <w:pPr>
        <w:shd w:val="clear"/>
        <w:spacing w:before="163"/>
      </w:pPr>
    </w:p>
    <w:tbl>
      <w:tblPr>
        <w:tblStyle w:val="18"/>
        <w:tblW w:w="13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8"/>
        <w:gridCol w:w="2550"/>
        <w:gridCol w:w="8648"/>
      </w:tblGrid>
      <w:tr w14:paraId="5CE57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208" w:type="dxa"/>
            <w:vAlign w:val="top"/>
          </w:tcPr>
          <w:p w14:paraId="1D40A84C">
            <w:pPr>
              <w:shd w:val="clear"/>
              <w:rPr>
                <w:rFonts w:ascii="Arial"/>
                <w:sz w:val="21"/>
              </w:rPr>
            </w:pPr>
          </w:p>
        </w:tc>
        <w:tc>
          <w:tcPr>
            <w:tcW w:w="2550" w:type="dxa"/>
            <w:vAlign w:val="top"/>
          </w:tcPr>
          <w:p w14:paraId="34A0087C">
            <w:pPr>
              <w:shd w:val="clear"/>
              <w:spacing w:before="250" w:line="222" w:lineRule="auto"/>
              <w:ind w:left="910"/>
              <w:rPr>
                <w:rFonts w:ascii="黑体" w:hAnsi="黑体" w:eastAsia="黑体" w:cs="黑体"/>
                <w:sz w:val="24"/>
                <w:szCs w:val="24"/>
              </w:rPr>
            </w:pPr>
            <w:r>
              <w:rPr>
                <w:rFonts w:ascii="黑体" w:hAnsi="黑体" w:eastAsia="黑体" w:cs="黑体"/>
                <w:spacing w:val="-5"/>
                <w:sz w:val="24"/>
                <w:szCs w:val="24"/>
              </w:rPr>
              <w:t>姓名</w:t>
            </w:r>
          </w:p>
        </w:tc>
        <w:tc>
          <w:tcPr>
            <w:tcW w:w="8648" w:type="dxa"/>
            <w:vAlign w:val="top"/>
          </w:tcPr>
          <w:p w14:paraId="164CD8ED">
            <w:pPr>
              <w:shd w:val="clear"/>
              <w:spacing w:before="249" w:line="221" w:lineRule="auto"/>
              <w:ind w:left="3480"/>
              <w:rPr>
                <w:rFonts w:ascii="黑体" w:hAnsi="黑体" w:eastAsia="黑体" w:cs="黑体"/>
                <w:sz w:val="24"/>
                <w:szCs w:val="24"/>
              </w:rPr>
            </w:pPr>
            <w:r>
              <w:rPr>
                <w:rFonts w:ascii="黑体" w:hAnsi="黑体" w:eastAsia="黑体" w:cs="黑体"/>
                <w:spacing w:val="13"/>
                <w:sz w:val="24"/>
                <w:szCs w:val="24"/>
              </w:rPr>
              <w:t>现场指挥机构职责</w:t>
            </w:r>
          </w:p>
        </w:tc>
      </w:tr>
      <w:tr w14:paraId="2ED70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208" w:type="dxa"/>
            <w:vAlign w:val="top"/>
          </w:tcPr>
          <w:p w14:paraId="564FEB88">
            <w:pPr>
              <w:pStyle w:val="19"/>
              <w:shd w:val="clear"/>
              <w:spacing w:before="65" w:line="228" w:lineRule="auto"/>
              <w:ind w:right="286"/>
            </w:pPr>
            <w:r>
              <w:rPr>
                <w:spacing w:val="9"/>
              </w:rPr>
              <w:t>综合保障组</w:t>
            </w:r>
            <w:r>
              <w:rPr>
                <w:spacing w:val="-1"/>
              </w:rPr>
              <w:t>组长</w:t>
            </w:r>
          </w:p>
        </w:tc>
        <w:tc>
          <w:tcPr>
            <w:tcW w:w="2550" w:type="dxa"/>
            <w:vAlign w:val="top"/>
          </w:tcPr>
          <w:p w14:paraId="3C4D1BE7">
            <w:pPr>
              <w:pStyle w:val="19"/>
              <w:shd w:val="clear"/>
              <w:spacing w:before="223" w:line="222" w:lineRule="auto"/>
              <w:ind w:left="808"/>
            </w:pPr>
            <w:r>
              <w:rPr>
                <w:rFonts w:hint="eastAsia"/>
                <w:spacing w:val="1"/>
                <w:lang w:eastAsia="zh-CN"/>
              </w:rPr>
              <w:t>县</w:t>
            </w:r>
            <w:r>
              <w:rPr>
                <w:spacing w:val="1"/>
              </w:rPr>
              <w:t>应急局</w:t>
            </w:r>
          </w:p>
        </w:tc>
        <w:tc>
          <w:tcPr>
            <w:tcW w:w="8648" w:type="dxa"/>
            <w:vMerge w:val="restart"/>
            <w:tcBorders>
              <w:bottom w:val="nil"/>
            </w:tcBorders>
            <w:vAlign w:val="top"/>
          </w:tcPr>
          <w:p w14:paraId="1FF4ACAF">
            <w:pPr>
              <w:pStyle w:val="19"/>
              <w:shd w:val="clear"/>
              <w:spacing w:before="59" w:line="221" w:lineRule="auto"/>
              <w:ind w:left="129"/>
              <w:rPr>
                <w:b/>
                <w:bCs/>
              </w:rPr>
            </w:pPr>
            <w:r>
              <w:rPr>
                <w:b/>
                <w:bCs/>
                <w:spacing w:val="5"/>
              </w:rPr>
              <w:t>综合保障组</w:t>
            </w:r>
          </w:p>
          <w:p w14:paraId="73595A44">
            <w:pPr>
              <w:pStyle w:val="19"/>
              <w:shd w:val="clear"/>
              <w:spacing w:before="29" w:line="243" w:lineRule="auto"/>
              <w:ind w:left="127" w:right="32" w:firstLine="2"/>
              <w:rPr>
                <w:rFonts w:hint="eastAsia" w:eastAsia="仿宋"/>
                <w:lang w:eastAsia="zh-CN"/>
              </w:rPr>
            </w:pPr>
            <w:r>
              <w:rPr>
                <w:spacing w:val="10"/>
              </w:rPr>
              <w:t>组长单位：</w:t>
            </w:r>
            <w:r>
              <w:rPr>
                <w:rFonts w:hint="eastAsia"/>
                <w:spacing w:val="10"/>
                <w:lang w:eastAsia="zh-CN"/>
              </w:rPr>
              <w:t>县</w:t>
            </w:r>
            <w:r>
              <w:rPr>
                <w:spacing w:val="10"/>
              </w:rPr>
              <w:t>应急局。成员单位：</w:t>
            </w:r>
            <w:r>
              <w:rPr>
                <w:rFonts w:hint="eastAsia"/>
                <w:spacing w:val="10"/>
                <w:lang w:eastAsia="zh-CN"/>
              </w:rPr>
              <w:t>县</w:t>
            </w:r>
            <w:r>
              <w:rPr>
                <w:spacing w:val="10"/>
              </w:rPr>
              <w:t>工信局、</w:t>
            </w:r>
            <w:r>
              <w:rPr>
                <w:rFonts w:hint="eastAsia"/>
                <w:spacing w:val="10"/>
                <w:lang w:eastAsia="zh-CN"/>
              </w:rPr>
              <w:t>县</w:t>
            </w:r>
            <w:r>
              <w:rPr>
                <w:spacing w:val="10"/>
              </w:rPr>
              <w:t>交通运输局、</w:t>
            </w:r>
            <w:r>
              <w:rPr>
                <w:rFonts w:hint="eastAsia"/>
                <w:spacing w:val="9"/>
                <w:lang w:eastAsia="zh-CN"/>
              </w:rPr>
              <w:t>县</w:t>
            </w:r>
            <w:r>
              <w:rPr>
                <w:spacing w:val="9"/>
              </w:rPr>
              <w:t>公安局、</w:t>
            </w:r>
            <w:r>
              <w:rPr>
                <w:rFonts w:hint="eastAsia"/>
                <w:spacing w:val="9"/>
                <w:lang w:eastAsia="zh-CN"/>
              </w:rPr>
              <w:t>县</w:t>
            </w:r>
            <w:r>
              <w:rPr>
                <w:spacing w:val="9"/>
              </w:rPr>
              <w:t>财政</w:t>
            </w:r>
            <w:r>
              <w:rPr>
                <w:spacing w:val="10"/>
              </w:rPr>
              <w:t>局、</w:t>
            </w:r>
            <w:r>
              <w:rPr>
                <w:rFonts w:hint="eastAsia"/>
                <w:spacing w:val="10"/>
                <w:lang w:eastAsia="zh-CN"/>
              </w:rPr>
              <w:t>县</w:t>
            </w:r>
            <w:r>
              <w:rPr>
                <w:spacing w:val="10"/>
              </w:rPr>
              <w:t>气象局、</w:t>
            </w:r>
            <w:r>
              <w:rPr>
                <w:rFonts w:hint="eastAsia"/>
                <w:spacing w:val="10"/>
                <w:lang w:eastAsia="zh-CN"/>
              </w:rPr>
              <w:t>县</w:t>
            </w:r>
            <w:r>
              <w:rPr>
                <w:spacing w:val="10"/>
              </w:rPr>
              <w:t>消防救援</w:t>
            </w:r>
            <w:r>
              <w:rPr>
                <w:rFonts w:hint="eastAsia"/>
                <w:spacing w:val="10"/>
                <w:lang w:eastAsia="zh-CN"/>
              </w:rPr>
              <w:t>大</w:t>
            </w:r>
            <w:r>
              <w:rPr>
                <w:spacing w:val="10"/>
              </w:rPr>
              <w:t>队</w:t>
            </w:r>
            <w:r>
              <w:rPr>
                <w:rFonts w:hint="eastAsia"/>
                <w:spacing w:val="10"/>
                <w:lang w:eastAsia="zh-CN"/>
              </w:rPr>
              <w:t>。</w:t>
            </w:r>
            <w:r>
              <w:rPr>
                <w:spacing w:val="10"/>
              </w:rPr>
              <w:t>主要职责：组织做好应急救援物资和临时安置重要物资的储备调拨、紧</w:t>
            </w:r>
            <w:r>
              <w:rPr>
                <w:spacing w:val="5"/>
              </w:rPr>
              <w:t>急配送和紧急生产工作；指导落实事故应急救援资金；与相关电力企业保持联络</w:t>
            </w:r>
            <w:r>
              <w:rPr>
                <w:rFonts w:hint="eastAsia"/>
                <w:spacing w:val="5"/>
                <w:lang w:eastAsia="zh-CN"/>
              </w:rPr>
              <w:t>，</w:t>
            </w:r>
            <w:r>
              <w:rPr>
                <w:spacing w:val="10"/>
              </w:rPr>
              <w:t>保证事故现场电力供应；负责协助组织征用救援车辆，开展救援绿色通道，保</w:t>
            </w:r>
            <w:r>
              <w:rPr>
                <w:spacing w:val="7"/>
              </w:rPr>
              <w:t>障运输畅通</w:t>
            </w:r>
            <w:r>
              <w:rPr>
                <w:rFonts w:hint="eastAsia"/>
                <w:spacing w:val="7"/>
                <w:lang w:eastAsia="zh-CN"/>
              </w:rPr>
              <w:t>；</w:t>
            </w:r>
            <w:r>
              <w:rPr>
                <w:spacing w:val="7"/>
              </w:rPr>
              <w:t>督办重要工作；承办前线指挥部交办的其他事项。</w:t>
            </w:r>
          </w:p>
          <w:p w14:paraId="0B748173">
            <w:pPr>
              <w:pStyle w:val="19"/>
              <w:shd w:val="clear"/>
              <w:spacing w:before="29" w:line="243" w:lineRule="auto"/>
              <w:ind w:left="127" w:right="32" w:firstLine="2"/>
              <w:rPr>
                <w:b/>
                <w:bCs/>
              </w:rPr>
            </w:pPr>
            <w:r>
              <w:rPr>
                <w:b/>
                <w:bCs/>
              </w:rPr>
              <w:t>医疗救援组</w:t>
            </w:r>
          </w:p>
          <w:p w14:paraId="6D6F9605">
            <w:pPr>
              <w:pStyle w:val="19"/>
              <w:shd w:val="clear"/>
              <w:spacing w:before="29" w:line="243" w:lineRule="auto"/>
              <w:ind w:left="127" w:right="32" w:firstLine="2"/>
            </w:pPr>
            <w:r>
              <w:rPr>
                <w:spacing w:val="10"/>
              </w:rPr>
              <w:t>组长单位：</w:t>
            </w:r>
            <w:r>
              <w:rPr>
                <w:rFonts w:hint="eastAsia"/>
                <w:spacing w:val="10"/>
                <w:lang w:eastAsia="zh-CN"/>
              </w:rPr>
              <w:t>县卫体局</w:t>
            </w:r>
            <w:r>
              <w:rPr>
                <w:spacing w:val="10"/>
              </w:rPr>
              <w:t>。成员单位：</w:t>
            </w:r>
            <w:r>
              <w:rPr>
                <w:rFonts w:hint="eastAsia"/>
                <w:spacing w:val="10"/>
                <w:lang w:eastAsia="zh-CN"/>
              </w:rPr>
              <w:t>县级医疗机构</w:t>
            </w:r>
            <w:r>
              <w:rPr>
                <w:spacing w:val="10"/>
              </w:rPr>
              <w:t>。</w:t>
            </w:r>
          </w:p>
          <w:p w14:paraId="68EEF5EC">
            <w:pPr>
              <w:pStyle w:val="19"/>
              <w:shd w:val="clear"/>
              <w:spacing w:before="35" w:line="237" w:lineRule="auto"/>
              <w:ind w:left="126" w:right="127" w:firstLine="14"/>
              <w:jc w:val="both"/>
            </w:pPr>
            <w:r>
              <w:rPr>
                <w:spacing w:val="10"/>
              </w:rPr>
              <w:t>主要职责：组织调派卫生应急队伍，协调医疗卫生机构开展医疗救援、相关区</w:t>
            </w:r>
            <w:r>
              <w:rPr>
                <w:spacing w:val="11"/>
              </w:rPr>
              <w:t>域卫生防疫等工作；根据需要设置临时医疗点或</w:t>
            </w:r>
            <w:r>
              <w:rPr>
                <w:spacing w:val="10"/>
              </w:rPr>
              <w:t>组派巡回医疗队</w:t>
            </w:r>
            <w:r>
              <w:rPr>
                <w:rFonts w:hint="eastAsia"/>
                <w:spacing w:val="10"/>
                <w:lang w:eastAsia="zh-CN"/>
              </w:rPr>
              <w:t>，</w:t>
            </w:r>
            <w:r>
              <w:rPr>
                <w:spacing w:val="10"/>
              </w:rPr>
              <w:t>为抢险救援</w:t>
            </w:r>
            <w:r>
              <w:rPr>
                <w:spacing w:val="6"/>
              </w:rPr>
              <w:t>人员和群众提供医疗卫生保障。</w:t>
            </w:r>
          </w:p>
          <w:p w14:paraId="1C4A4BB0">
            <w:pPr>
              <w:pStyle w:val="19"/>
              <w:shd w:val="clear"/>
              <w:spacing w:before="35" w:line="219" w:lineRule="auto"/>
              <w:ind w:left="134"/>
              <w:rPr>
                <w:b/>
                <w:bCs/>
              </w:rPr>
            </w:pPr>
            <w:r>
              <w:rPr>
                <w:b/>
                <w:bCs/>
                <w:spacing w:val="7"/>
              </w:rPr>
              <w:t>社会稳定组</w:t>
            </w:r>
          </w:p>
          <w:p w14:paraId="2C94D11C">
            <w:pPr>
              <w:pStyle w:val="19"/>
              <w:shd w:val="clear"/>
              <w:spacing w:before="33" w:line="221" w:lineRule="auto"/>
              <w:ind w:left="127"/>
            </w:pPr>
            <w:r>
              <w:rPr>
                <w:spacing w:val="10"/>
              </w:rPr>
              <w:t>组长单位：</w:t>
            </w:r>
            <w:r>
              <w:rPr>
                <w:rFonts w:hint="eastAsia"/>
                <w:spacing w:val="10"/>
                <w:lang w:eastAsia="zh-CN"/>
              </w:rPr>
              <w:t>县</w:t>
            </w:r>
            <w:r>
              <w:rPr>
                <w:spacing w:val="10"/>
              </w:rPr>
              <w:t>公安局。成员单位：事故发生地</w:t>
            </w:r>
            <w:r>
              <w:rPr>
                <w:rFonts w:hint="eastAsia"/>
                <w:spacing w:val="10"/>
                <w:lang w:eastAsia="zh-CN"/>
              </w:rPr>
              <w:t>乡镇人民政府</w:t>
            </w:r>
            <w:r>
              <w:rPr>
                <w:spacing w:val="10"/>
              </w:rPr>
              <w:t>。</w:t>
            </w:r>
          </w:p>
          <w:p w14:paraId="2BF37101">
            <w:pPr>
              <w:pStyle w:val="19"/>
              <w:shd w:val="clear"/>
              <w:spacing w:before="33" w:line="233" w:lineRule="auto"/>
              <w:ind w:left="127" w:right="206" w:firstLine="6"/>
            </w:pPr>
            <w:r>
              <w:rPr>
                <w:spacing w:val="7"/>
              </w:rPr>
              <w:t>主要职责：负责做好当地交通管制，维护事故现场交通秩序，保障道路畅通；</w:t>
            </w:r>
            <w:r>
              <w:rPr>
                <w:spacing w:val="10"/>
              </w:rPr>
              <w:t>做好人员转移安置点和社会治安维护等工作。</w:t>
            </w:r>
          </w:p>
          <w:p w14:paraId="0C0C0E89">
            <w:pPr>
              <w:pStyle w:val="19"/>
              <w:shd w:val="clear"/>
              <w:spacing w:before="35" w:line="222" w:lineRule="auto"/>
              <w:ind w:left="127"/>
              <w:rPr>
                <w:b/>
                <w:bCs/>
              </w:rPr>
            </w:pPr>
            <w:r>
              <w:rPr>
                <w:b/>
                <w:bCs/>
                <w:spacing w:val="9"/>
              </w:rPr>
              <w:t>环境监测组</w:t>
            </w:r>
          </w:p>
          <w:p w14:paraId="11B522E3">
            <w:pPr>
              <w:pStyle w:val="19"/>
              <w:shd w:val="clear"/>
              <w:spacing w:before="30" w:line="221" w:lineRule="auto"/>
              <w:ind w:left="127"/>
            </w:pPr>
            <w:r>
              <w:rPr>
                <w:spacing w:val="6"/>
              </w:rPr>
              <w:t>组长单位：</w:t>
            </w:r>
            <w:r>
              <w:rPr>
                <w:rFonts w:hint="eastAsia"/>
                <w:spacing w:val="6"/>
                <w:lang w:eastAsia="zh-CN"/>
              </w:rPr>
              <w:t>市</w:t>
            </w:r>
            <w:r>
              <w:rPr>
                <w:spacing w:val="6"/>
              </w:rPr>
              <w:t>生态环境局</w:t>
            </w:r>
            <w:r>
              <w:rPr>
                <w:rFonts w:hint="eastAsia"/>
                <w:spacing w:val="6"/>
                <w:lang w:eastAsia="zh-CN"/>
              </w:rPr>
              <w:t>浑源分局</w:t>
            </w:r>
            <w:r>
              <w:rPr>
                <w:spacing w:val="6"/>
              </w:rPr>
              <w:t>。成员单位：</w:t>
            </w:r>
            <w:r>
              <w:rPr>
                <w:rFonts w:hint="eastAsia"/>
                <w:spacing w:val="6"/>
                <w:lang w:eastAsia="zh-CN"/>
              </w:rPr>
              <w:t>县</w:t>
            </w:r>
            <w:r>
              <w:rPr>
                <w:spacing w:val="6"/>
              </w:rPr>
              <w:t>水务局、</w:t>
            </w:r>
            <w:r>
              <w:rPr>
                <w:rFonts w:hint="eastAsia"/>
                <w:spacing w:val="6"/>
                <w:lang w:eastAsia="zh-CN"/>
              </w:rPr>
              <w:t>县</w:t>
            </w:r>
            <w:r>
              <w:rPr>
                <w:spacing w:val="6"/>
              </w:rPr>
              <w:t>气象局等。</w:t>
            </w:r>
          </w:p>
          <w:p w14:paraId="106E5398">
            <w:pPr>
              <w:pStyle w:val="19"/>
              <w:shd w:val="clear"/>
              <w:spacing w:before="34" w:line="233" w:lineRule="auto"/>
              <w:ind w:left="136" w:right="182" w:firstLine="6"/>
            </w:pPr>
            <w:r>
              <w:rPr>
                <w:spacing w:val="9"/>
              </w:rPr>
              <w:t>主要职责：负责事故现场大气、水质、土壤监测工作；负责制定因</w:t>
            </w:r>
            <w:r>
              <w:rPr>
                <w:spacing w:val="8"/>
              </w:rPr>
              <w:t>事故造成大</w:t>
            </w:r>
            <w:r>
              <w:rPr>
                <w:spacing w:val="9"/>
              </w:rPr>
              <w:t>气、水源污染、地震引发次生灾害的应急处置方案并组织实施。</w:t>
            </w:r>
          </w:p>
          <w:p w14:paraId="6DD80038">
            <w:pPr>
              <w:pStyle w:val="19"/>
              <w:shd w:val="clear"/>
              <w:spacing w:before="33" w:line="222" w:lineRule="auto"/>
              <w:ind w:left="151"/>
              <w:rPr>
                <w:b/>
                <w:bCs/>
              </w:rPr>
            </w:pPr>
            <w:r>
              <w:rPr>
                <w:b/>
                <w:bCs/>
                <w:spacing w:val="2"/>
              </w:rPr>
              <w:t>宣传报道组</w:t>
            </w:r>
          </w:p>
          <w:p w14:paraId="27439A54">
            <w:pPr>
              <w:pStyle w:val="19"/>
              <w:shd w:val="clear"/>
              <w:spacing w:before="23" w:line="234" w:lineRule="auto"/>
              <w:ind w:left="25" w:right="83"/>
              <w:rPr>
                <w:rFonts w:hint="eastAsia" w:eastAsia="仿宋"/>
                <w:spacing w:val="8"/>
                <w:lang w:eastAsia="zh-CN"/>
              </w:rPr>
            </w:pPr>
            <w:r>
              <w:rPr>
                <w:spacing w:val="10"/>
              </w:rPr>
              <w:t>组长单位：</w:t>
            </w:r>
            <w:r>
              <w:rPr>
                <w:rFonts w:hint="eastAsia"/>
                <w:spacing w:val="10"/>
                <w:lang w:eastAsia="zh-CN"/>
              </w:rPr>
              <w:t>县</w:t>
            </w:r>
            <w:r>
              <w:rPr>
                <w:spacing w:val="10"/>
              </w:rPr>
              <w:t>委宣传部。成员单位：</w:t>
            </w:r>
            <w:r>
              <w:rPr>
                <w:rFonts w:hint="eastAsia"/>
                <w:spacing w:val="10"/>
                <w:lang w:eastAsia="zh-CN"/>
              </w:rPr>
              <w:t>县</w:t>
            </w:r>
            <w:r>
              <w:rPr>
                <w:spacing w:val="10"/>
              </w:rPr>
              <w:t>应急局、</w:t>
            </w:r>
            <w:r>
              <w:rPr>
                <w:rFonts w:hint="eastAsia"/>
                <w:spacing w:val="10"/>
                <w:lang w:eastAsia="zh-CN"/>
              </w:rPr>
              <w:t>县</w:t>
            </w:r>
            <w:r>
              <w:rPr>
                <w:spacing w:val="10"/>
              </w:rPr>
              <w:t>文旅局</w:t>
            </w:r>
            <w:r>
              <w:rPr>
                <w:spacing w:val="8"/>
              </w:rPr>
              <w:t>。</w:t>
            </w:r>
          </w:p>
          <w:p w14:paraId="54F21626">
            <w:pPr>
              <w:pStyle w:val="19"/>
              <w:shd w:val="clear"/>
              <w:spacing w:before="23" w:line="234" w:lineRule="auto"/>
              <w:ind w:left="25" w:right="83"/>
            </w:pPr>
            <w:r>
              <w:rPr>
                <w:spacing w:val="8"/>
              </w:rPr>
              <w:t>主要职责：维护现场正常的新闻采访秩序；统一发布事故信息；</w:t>
            </w:r>
            <w:r>
              <w:rPr>
                <w:spacing w:val="-1"/>
              </w:rPr>
              <w:t>收集分析舆情，正</w:t>
            </w:r>
            <w:r>
              <w:rPr>
                <w:spacing w:val="-2"/>
              </w:rPr>
              <w:t>确引导媒体和公众舆论。</w:t>
            </w:r>
          </w:p>
          <w:p w14:paraId="209F08B4">
            <w:pPr>
              <w:pStyle w:val="19"/>
              <w:shd w:val="clear"/>
              <w:spacing w:before="33" w:line="233" w:lineRule="auto"/>
              <w:ind w:left="149" w:right="129" w:hanging="22"/>
            </w:pPr>
          </w:p>
        </w:tc>
      </w:tr>
      <w:tr w14:paraId="7699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2208" w:type="dxa"/>
            <w:vAlign w:val="top"/>
          </w:tcPr>
          <w:p w14:paraId="43D187D4">
            <w:pPr>
              <w:shd w:val="clear"/>
              <w:spacing w:line="290" w:lineRule="auto"/>
              <w:rPr>
                <w:rFonts w:ascii="Arial"/>
                <w:sz w:val="21"/>
              </w:rPr>
            </w:pPr>
          </w:p>
          <w:p w14:paraId="5D10A8D0">
            <w:pPr>
              <w:shd w:val="clear"/>
              <w:spacing w:line="290" w:lineRule="auto"/>
              <w:rPr>
                <w:rFonts w:ascii="Arial"/>
                <w:sz w:val="21"/>
              </w:rPr>
            </w:pPr>
          </w:p>
          <w:p w14:paraId="1D7D31DA">
            <w:pPr>
              <w:shd w:val="clear"/>
              <w:spacing w:line="290" w:lineRule="auto"/>
              <w:rPr>
                <w:rFonts w:ascii="Arial"/>
                <w:sz w:val="21"/>
              </w:rPr>
            </w:pPr>
          </w:p>
          <w:p w14:paraId="1B796AF4">
            <w:pPr>
              <w:pStyle w:val="19"/>
              <w:shd w:val="clear"/>
              <w:spacing w:before="78" w:line="224" w:lineRule="auto"/>
              <w:ind w:left="686"/>
            </w:pPr>
            <w:r>
              <w:rPr>
                <w:spacing w:val="-8"/>
              </w:rPr>
              <w:t>成员</w:t>
            </w:r>
          </w:p>
        </w:tc>
        <w:tc>
          <w:tcPr>
            <w:tcW w:w="2550" w:type="dxa"/>
            <w:vAlign w:val="top"/>
          </w:tcPr>
          <w:p w14:paraId="11B2D70A">
            <w:pPr>
              <w:pStyle w:val="19"/>
              <w:shd w:val="clear"/>
              <w:spacing w:before="155" w:line="242" w:lineRule="auto"/>
              <w:ind w:left="125" w:right="32" w:firstLine="13"/>
              <w:rPr>
                <w:rFonts w:hint="eastAsia" w:eastAsia="仿宋"/>
                <w:lang w:eastAsia="zh-CN"/>
              </w:rPr>
            </w:pPr>
            <w:r>
              <w:rPr>
                <w:rFonts w:hint="eastAsia"/>
                <w:spacing w:val="-3"/>
                <w:lang w:eastAsia="zh-CN"/>
              </w:rPr>
              <w:t>县</w:t>
            </w:r>
            <w:r>
              <w:rPr>
                <w:spacing w:val="-3"/>
              </w:rPr>
              <w:t>工信局、</w:t>
            </w:r>
            <w:r>
              <w:rPr>
                <w:rFonts w:hint="eastAsia"/>
                <w:spacing w:val="-3"/>
                <w:lang w:eastAsia="zh-CN"/>
              </w:rPr>
              <w:t>县</w:t>
            </w:r>
            <w:r>
              <w:rPr>
                <w:spacing w:val="-3"/>
              </w:rPr>
              <w:t>能源局、</w:t>
            </w:r>
            <w:r>
              <w:rPr>
                <w:rFonts w:hint="eastAsia"/>
                <w:spacing w:val="-13"/>
                <w:lang w:eastAsia="zh-CN"/>
              </w:rPr>
              <w:t>县</w:t>
            </w:r>
            <w:r>
              <w:rPr>
                <w:spacing w:val="-13"/>
              </w:rPr>
              <w:t>公安局、</w:t>
            </w:r>
            <w:r>
              <w:rPr>
                <w:rFonts w:hint="eastAsia"/>
                <w:spacing w:val="-10"/>
                <w:lang w:eastAsia="zh-CN"/>
              </w:rPr>
              <w:t>县</w:t>
            </w:r>
            <w:r>
              <w:rPr>
                <w:spacing w:val="-10"/>
              </w:rPr>
              <w:t>财政局、</w:t>
            </w:r>
            <w:r>
              <w:rPr>
                <w:rFonts w:hint="eastAsia"/>
                <w:spacing w:val="-7"/>
                <w:lang w:eastAsia="zh-CN"/>
              </w:rPr>
              <w:t>县</w:t>
            </w:r>
            <w:r>
              <w:rPr>
                <w:spacing w:val="-7"/>
              </w:rPr>
              <w:t>气象局、</w:t>
            </w:r>
            <w:r>
              <w:rPr>
                <w:rFonts w:hint="eastAsia"/>
                <w:spacing w:val="-7"/>
                <w:lang w:eastAsia="zh-CN"/>
              </w:rPr>
              <w:t>县</w:t>
            </w:r>
            <w:r>
              <w:rPr>
                <w:spacing w:val="-7"/>
              </w:rPr>
              <w:t>消防救援</w:t>
            </w:r>
            <w:r>
              <w:rPr>
                <w:rFonts w:hint="eastAsia"/>
                <w:spacing w:val="2"/>
                <w:lang w:eastAsia="zh-CN"/>
              </w:rPr>
              <w:t>大</w:t>
            </w:r>
            <w:r>
              <w:rPr>
                <w:spacing w:val="1"/>
              </w:rPr>
              <w:t>队</w:t>
            </w:r>
            <w:r>
              <w:rPr>
                <w:rFonts w:hint="eastAsia"/>
                <w:spacing w:val="1"/>
                <w:lang w:eastAsia="zh-CN"/>
              </w:rPr>
              <w:t>等</w:t>
            </w:r>
          </w:p>
        </w:tc>
        <w:tc>
          <w:tcPr>
            <w:tcW w:w="8648" w:type="dxa"/>
            <w:vMerge w:val="continue"/>
            <w:tcBorders>
              <w:top w:val="nil"/>
              <w:bottom w:val="nil"/>
            </w:tcBorders>
            <w:vAlign w:val="top"/>
          </w:tcPr>
          <w:p w14:paraId="1F64E962">
            <w:pPr>
              <w:shd w:val="clear"/>
              <w:rPr>
                <w:rFonts w:ascii="Arial"/>
                <w:sz w:val="21"/>
              </w:rPr>
            </w:pPr>
          </w:p>
        </w:tc>
      </w:tr>
      <w:tr w14:paraId="57211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208" w:type="dxa"/>
            <w:vAlign w:val="top"/>
          </w:tcPr>
          <w:p w14:paraId="7225B7EA">
            <w:pPr>
              <w:pStyle w:val="19"/>
              <w:shd w:val="clear"/>
              <w:spacing w:before="63" w:line="228" w:lineRule="auto"/>
              <w:ind w:right="296"/>
            </w:pPr>
            <w:r>
              <w:t>医疗救援组</w:t>
            </w:r>
            <w:r>
              <w:rPr>
                <w:spacing w:val="-5"/>
              </w:rPr>
              <w:t>组长</w:t>
            </w:r>
          </w:p>
        </w:tc>
        <w:tc>
          <w:tcPr>
            <w:tcW w:w="2550" w:type="dxa"/>
            <w:vAlign w:val="top"/>
          </w:tcPr>
          <w:p w14:paraId="0BD31DCB">
            <w:pPr>
              <w:pStyle w:val="19"/>
              <w:shd w:val="clear"/>
              <w:spacing w:before="223" w:line="222" w:lineRule="auto"/>
              <w:ind w:left="808"/>
              <w:rPr>
                <w:rFonts w:hint="eastAsia" w:eastAsia="仿宋"/>
                <w:lang w:eastAsia="zh-CN"/>
              </w:rPr>
            </w:pPr>
            <w:r>
              <w:rPr>
                <w:rFonts w:hint="eastAsia"/>
                <w:spacing w:val="1"/>
                <w:lang w:eastAsia="zh-CN"/>
              </w:rPr>
              <w:t>县</w:t>
            </w:r>
            <w:r>
              <w:rPr>
                <w:spacing w:val="1"/>
              </w:rPr>
              <w:t>卫</w:t>
            </w:r>
            <w:r>
              <w:rPr>
                <w:rFonts w:hint="eastAsia"/>
                <w:spacing w:val="1"/>
                <w:lang w:eastAsia="zh-CN"/>
              </w:rPr>
              <w:t>体局</w:t>
            </w:r>
          </w:p>
        </w:tc>
        <w:tc>
          <w:tcPr>
            <w:tcW w:w="8648" w:type="dxa"/>
            <w:vMerge w:val="continue"/>
            <w:tcBorders>
              <w:top w:val="nil"/>
              <w:bottom w:val="nil"/>
            </w:tcBorders>
            <w:vAlign w:val="top"/>
          </w:tcPr>
          <w:p w14:paraId="32E699D8">
            <w:pPr>
              <w:shd w:val="clear"/>
              <w:rPr>
                <w:rFonts w:ascii="Arial"/>
                <w:sz w:val="21"/>
              </w:rPr>
            </w:pPr>
          </w:p>
        </w:tc>
      </w:tr>
      <w:tr w14:paraId="1932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208" w:type="dxa"/>
            <w:vAlign w:val="top"/>
          </w:tcPr>
          <w:p w14:paraId="6CA87AB4">
            <w:pPr>
              <w:pStyle w:val="19"/>
              <w:shd w:val="clear"/>
              <w:spacing w:before="223" w:line="224" w:lineRule="auto"/>
              <w:ind w:left="686"/>
            </w:pPr>
            <w:r>
              <w:rPr>
                <w:spacing w:val="-8"/>
              </w:rPr>
              <w:t>成员</w:t>
            </w:r>
          </w:p>
        </w:tc>
        <w:tc>
          <w:tcPr>
            <w:tcW w:w="2550" w:type="dxa"/>
            <w:vAlign w:val="top"/>
          </w:tcPr>
          <w:p w14:paraId="6FD20CB2">
            <w:pPr>
              <w:pStyle w:val="19"/>
              <w:shd w:val="clear"/>
              <w:spacing w:before="65" w:line="227" w:lineRule="auto"/>
              <w:ind w:right="174" w:firstLine="242" w:firstLineChars="100"/>
              <w:rPr>
                <w:rFonts w:hint="eastAsia"/>
                <w:spacing w:val="1"/>
                <w:lang w:eastAsia="zh-CN"/>
              </w:rPr>
            </w:pPr>
          </w:p>
          <w:p w14:paraId="0B725E40">
            <w:pPr>
              <w:pStyle w:val="19"/>
              <w:shd w:val="clear"/>
              <w:spacing w:before="65" w:line="227" w:lineRule="auto"/>
              <w:ind w:right="174" w:firstLine="484" w:firstLineChars="200"/>
              <w:jc w:val="center"/>
            </w:pPr>
            <w:r>
              <w:rPr>
                <w:rFonts w:hint="eastAsia"/>
                <w:spacing w:val="1"/>
                <w:lang w:eastAsia="zh-CN"/>
              </w:rPr>
              <w:t>县级医疗机构</w:t>
            </w:r>
          </w:p>
        </w:tc>
        <w:tc>
          <w:tcPr>
            <w:tcW w:w="8648" w:type="dxa"/>
            <w:vMerge w:val="continue"/>
            <w:tcBorders>
              <w:top w:val="nil"/>
              <w:bottom w:val="nil"/>
            </w:tcBorders>
            <w:vAlign w:val="top"/>
          </w:tcPr>
          <w:p w14:paraId="3EFB238C">
            <w:pPr>
              <w:shd w:val="clear"/>
              <w:rPr>
                <w:rFonts w:ascii="Arial"/>
                <w:sz w:val="21"/>
              </w:rPr>
            </w:pPr>
          </w:p>
        </w:tc>
      </w:tr>
      <w:tr w14:paraId="38B12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208" w:type="dxa"/>
            <w:vAlign w:val="top"/>
          </w:tcPr>
          <w:p w14:paraId="7236F77C">
            <w:pPr>
              <w:pStyle w:val="19"/>
              <w:shd w:val="clear"/>
              <w:spacing w:before="65" w:line="227" w:lineRule="auto"/>
              <w:ind w:right="286"/>
            </w:pPr>
            <w:r>
              <w:rPr>
                <w:spacing w:val="9"/>
              </w:rPr>
              <w:t>社会稳定组</w:t>
            </w:r>
            <w:r>
              <w:t>组长</w:t>
            </w:r>
          </w:p>
        </w:tc>
        <w:tc>
          <w:tcPr>
            <w:tcW w:w="2550" w:type="dxa"/>
            <w:vAlign w:val="top"/>
          </w:tcPr>
          <w:p w14:paraId="1B02C69D">
            <w:pPr>
              <w:pStyle w:val="19"/>
              <w:shd w:val="clear"/>
              <w:spacing w:before="225" w:line="222" w:lineRule="auto"/>
              <w:ind w:left="808"/>
            </w:pPr>
            <w:r>
              <w:rPr>
                <w:rFonts w:hint="eastAsia"/>
                <w:spacing w:val="1"/>
                <w:lang w:eastAsia="zh-CN"/>
              </w:rPr>
              <w:t>县</w:t>
            </w:r>
            <w:r>
              <w:rPr>
                <w:spacing w:val="1"/>
              </w:rPr>
              <w:t>公安局</w:t>
            </w:r>
          </w:p>
        </w:tc>
        <w:tc>
          <w:tcPr>
            <w:tcW w:w="8648" w:type="dxa"/>
            <w:vMerge w:val="continue"/>
            <w:tcBorders>
              <w:top w:val="nil"/>
              <w:bottom w:val="nil"/>
            </w:tcBorders>
            <w:vAlign w:val="top"/>
          </w:tcPr>
          <w:p w14:paraId="4699DAEE">
            <w:pPr>
              <w:shd w:val="clear"/>
              <w:rPr>
                <w:rFonts w:ascii="Arial"/>
                <w:sz w:val="21"/>
              </w:rPr>
            </w:pPr>
          </w:p>
        </w:tc>
      </w:tr>
      <w:tr w14:paraId="5C54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208" w:type="dxa"/>
            <w:vAlign w:val="top"/>
          </w:tcPr>
          <w:p w14:paraId="11F1E8B5">
            <w:pPr>
              <w:pStyle w:val="19"/>
              <w:shd w:val="clear"/>
              <w:spacing w:before="251" w:line="224" w:lineRule="auto"/>
              <w:ind w:left="686"/>
            </w:pPr>
            <w:r>
              <w:rPr>
                <w:spacing w:val="-8"/>
              </w:rPr>
              <w:t>成员</w:t>
            </w:r>
          </w:p>
        </w:tc>
        <w:tc>
          <w:tcPr>
            <w:tcW w:w="2550" w:type="dxa"/>
            <w:vAlign w:val="top"/>
          </w:tcPr>
          <w:p w14:paraId="244DE3CD">
            <w:pPr>
              <w:pStyle w:val="19"/>
              <w:shd w:val="clear"/>
              <w:spacing w:before="92" w:line="234" w:lineRule="auto"/>
              <w:ind w:right="174"/>
            </w:pPr>
            <w:r>
              <w:rPr>
                <w:spacing w:val="7"/>
              </w:rPr>
              <w:t>事故发生地</w:t>
            </w:r>
            <w:r>
              <w:rPr>
                <w:rFonts w:hint="eastAsia"/>
                <w:spacing w:val="7"/>
                <w:lang w:eastAsia="zh-CN"/>
              </w:rPr>
              <w:t>乡镇</w:t>
            </w:r>
            <w:r>
              <w:rPr>
                <w:spacing w:val="7"/>
              </w:rPr>
              <w:t>人民政府</w:t>
            </w:r>
          </w:p>
        </w:tc>
        <w:tc>
          <w:tcPr>
            <w:tcW w:w="8648" w:type="dxa"/>
            <w:vMerge w:val="continue"/>
            <w:tcBorders>
              <w:top w:val="nil"/>
              <w:bottom w:val="nil"/>
            </w:tcBorders>
            <w:vAlign w:val="top"/>
          </w:tcPr>
          <w:p w14:paraId="31146E13">
            <w:pPr>
              <w:shd w:val="clear"/>
              <w:rPr>
                <w:rFonts w:ascii="Arial"/>
                <w:sz w:val="21"/>
              </w:rPr>
            </w:pPr>
          </w:p>
        </w:tc>
      </w:tr>
      <w:tr w14:paraId="6AB66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208" w:type="dxa"/>
            <w:vAlign w:val="top"/>
          </w:tcPr>
          <w:p w14:paraId="1D23D544">
            <w:pPr>
              <w:pStyle w:val="19"/>
              <w:shd w:val="clear"/>
              <w:spacing w:before="66" w:line="227" w:lineRule="auto"/>
              <w:ind w:right="284"/>
            </w:pPr>
            <w:r>
              <w:rPr>
                <w:spacing w:val="11"/>
              </w:rPr>
              <w:t>环境监测组</w:t>
            </w:r>
            <w:r>
              <w:rPr>
                <w:spacing w:val="-1"/>
              </w:rPr>
              <w:t>组长</w:t>
            </w:r>
          </w:p>
        </w:tc>
        <w:tc>
          <w:tcPr>
            <w:tcW w:w="2550" w:type="dxa"/>
            <w:vAlign w:val="top"/>
          </w:tcPr>
          <w:p w14:paraId="377875C9">
            <w:pPr>
              <w:pStyle w:val="19"/>
              <w:shd w:val="clear"/>
              <w:spacing w:before="227" w:line="222" w:lineRule="auto"/>
            </w:pPr>
            <w:r>
              <w:rPr>
                <w:rFonts w:hint="eastAsia"/>
                <w:spacing w:val="7"/>
                <w:lang w:eastAsia="zh-CN"/>
              </w:rPr>
              <w:t>市生态环境局浑源分局</w:t>
            </w:r>
          </w:p>
        </w:tc>
        <w:tc>
          <w:tcPr>
            <w:tcW w:w="8648" w:type="dxa"/>
            <w:vMerge w:val="continue"/>
            <w:tcBorders>
              <w:top w:val="nil"/>
              <w:bottom w:val="nil"/>
            </w:tcBorders>
            <w:vAlign w:val="top"/>
          </w:tcPr>
          <w:p w14:paraId="0C1DD0A0">
            <w:pPr>
              <w:shd w:val="clear"/>
              <w:rPr>
                <w:rFonts w:ascii="Arial"/>
                <w:sz w:val="21"/>
              </w:rPr>
            </w:pPr>
          </w:p>
        </w:tc>
      </w:tr>
      <w:tr w14:paraId="3A6C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208" w:type="dxa"/>
            <w:vAlign w:val="top"/>
          </w:tcPr>
          <w:p w14:paraId="7EFBD198">
            <w:pPr>
              <w:pStyle w:val="19"/>
              <w:shd w:val="clear"/>
              <w:spacing w:before="164" w:line="224" w:lineRule="auto"/>
              <w:ind w:left="686"/>
            </w:pPr>
            <w:r>
              <w:rPr>
                <w:spacing w:val="-8"/>
              </w:rPr>
              <w:t>成员</w:t>
            </w:r>
          </w:p>
        </w:tc>
        <w:tc>
          <w:tcPr>
            <w:tcW w:w="2550" w:type="dxa"/>
            <w:vAlign w:val="top"/>
          </w:tcPr>
          <w:p w14:paraId="000AB484">
            <w:pPr>
              <w:pStyle w:val="19"/>
              <w:shd w:val="clear"/>
              <w:spacing w:before="165" w:line="222" w:lineRule="auto"/>
              <w:ind w:left="131"/>
            </w:pPr>
            <w:r>
              <w:rPr>
                <w:rFonts w:hint="eastAsia"/>
                <w:spacing w:val="-8"/>
                <w:lang w:eastAsia="zh-CN"/>
              </w:rPr>
              <w:t>县</w:t>
            </w:r>
            <w:r>
              <w:rPr>
                <w:spacing w:val="-8"/>
              </w:rPr>
              <w:t>水务局、</w:t>
            </w:r>
            <w:r>
              <w:rPr>
                <w:rFonts w:hint="eastAsia"/>
                <w:spacing w:val="-8"/>
                <w:lang w:eastAsia="zh-CN"/>
              </w:rPr>
              <w:t>县</w:t>
            </w:r>
            <w:r>
              <w:rPr>
                <w:spacing w:val="-8"/>
              </w:rPr>
              <w:t>气象局等</w:t>
            </w:r>
          </w:p>
        </w:tc>
        <w:tc>
          <w:tcPr>
            <w:tcW w:w="8648" w:type="dxa"/>
            <w:vMerge w:val="continue"/>
            <w:tcBorders>
              <w:top w:val="nil"/>
              <w:bottom w:val="nil"/>
            </w:tcBorders>
            <w:vAlign w:val="top"/>
          </w:tcPr>
          <w:p w14:paraId="1A9B5774">
            <w:pPr>
              <w:shd w:val="clear"/>
              <w:rPr>
                <w:rFonts w:ascii="Arial"/>
                <w:sz w:val="21"/>
              </w:rPr>
            </w:pPr>
          </w:p>
        </w:tc>
      </w:tr>
      <w:tr w14:paraId="38CCE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208" w:type="dxa"/>
            <w:vAlign w:val="top"/>
          </w:tcPr>
          <w:p w14:paraId="5B2C7E0F">
            <w:pPr>
              <w:pStyle w:val="19"/>
              <w:shd w:val="clear"/>
              <w:spacing w:before="66" w:line="227" w:lineRule="auto"/>
              <w:ind w:right="286"/>
            </w:pPr>
            <w:r>
              <w:rPr>
                <w:spacing w:val="9"/>
              </w:rPr>
              <w:t>新闻发布组</w:t>
            </w:r>
            <w:r>
              <w:rPr>
                <w:spacing w:val="-1"/>
              </w:rPr>
              <w:t>组长</w:t>
            </w:r>
          </w:p>
        </w:tc>
        <w:tc>
          <w:tcPr>
            <w:tcW w:w="2550" w:type="dxa"/>
            <w:vAlign w:val="top"/>
          </w:tcPr>
          <w:p w14:paraId="78FDFC8E">
            <w:pPr>
              <w:pStyle w:val="19"/>
              <w:shd w:val="clear"/>
              <w:spacing w:before="228" w:line="222" w:lineRule="auto"/>
              <w:ind w:left="678"/>
            </w:pPr>
            <w:r>
              <w:rPr>
                <w:rFonts w:hint="eastAsia"/>
                <w:spacing w:val="5"/>
                <w:lang w:eastAsia="zh-CN"/>
              </w:rPr>
              <w:t>县</w:t>
            </w:r>
            <w:r>
              <w:rPr>
                <w:spacing w:val="5"/>
              </w:rPr>
              <w:t>委宣传部</w:t>
            </w:r>
          </w:p>
        </w:tc>
        <w:tc>
          <w:tcPr>
            <w:tcW w:w="8648" w:type="dxa"/>
            <w:vMerge w:val="continue"/>
            <w:tcBorders>
              <w:top w:val="nil"/>
              <w:bottom w:val="nil"/>
            </w:tcBorders>
            <w:vAlign w:val="top"/>
          </w:tcPr>
          <w:p w14:paraId="6C5227A6">
            <w:pPr>
              <w:shd w:val="clear"/>
              <w:rPr>
                <w:rFonts w:ascii="Arial"/>
                <w:sz w:val="21"/>
              </w:rPr>
            </w:pPr>
          </w:p>
        </w:tc>
      </w:tr>
      <w:tr w14:paraId="0FF0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08" w:type="dxa"/>
            <w:vAlign w:val="top"/>
          </w:tcPr>
          <w:p w14:paraId="05D6FEC2">
            <w:pPr>
              <w:pStyle w:val="19"/>
              <w:shd w:val="clear"/>
              <w:spacing w:before="229" w:line="224" w:lineRule="auto"/>
              <w:ind w:left="686"/>
            </w:pPr>
            <w:r>
              <w:rPr>
                <w:spacing w:val="-8"/>
              </w:rPr>
              <w:t>成员</w:t>
            </w:r>
          </w:p>
        </w:tc>
        <w:tc>
          <w:tcPr>
            <w:tcW w:w="2550" w:type="dxa"/>
            <w:vAlign w:val="top"/>
          </w:tcPr>
          <w:p w14:paraId="2FEA6998">
            <w:pPr>
              <w:pStyle w:val="19"/>
              <w:shd w:val="clear"/>
              <w:spacing w:before="69" w:line="229" w:lineRule="auto"/>
              <w:ind w:left="220" w:right="128" w:hanging="46"/>
            </w:pPr>
            <w:r>
              <w:rPr>
                <w:rFonts w:hint="eastAsia"/>
                <w:spacing w:val="-14"/>
                <w:lang w:eastAsia="zh-CN"/>
              </w:rPr>
              <w:t>县</w:t>
            </w:r>
            <w:r>
              <w:rPr>
                <w:spacing w:val="-14"/>
              </w:rPr>
              <w:t>应急局、</w:t>
            </w:r>
            <w:r>
              <w:rPr>
                <w:rFonts w:hint="eastAsia"/>
                <w:spacing w:val="-14"/>
                <w:lang w:eastAsia="zh-CN"/>
              </w:rPr>
              <w:t>县</w:t>
            </w:r>
            <w:r>
              <w:rPr>
                <w:spacing w:val="-14"/>
              </w:rPr>
              <w:t>文旅局</w:t>
            </w:r>
          </w:p>
        </w:tc>
        <w:tc>
          <w:tcPr>
            <w:tcW w:w="8648" w:type="dxa"/>
            <w:vMerge w:val="continue"/>
            <w:tcBorders>
              <w:top w:val="nil"/>
            </w:tcBorders>
            <w:vAlign w:val="top"/>
          </w:tcPr>
          <w:p w14:paraId="16A7586C">
            <w:pPr>
              <w:shd w:val="clear"/>
              <w:rPr>
                <w:rFonts w:ascii="Arial"/>
                <w:sz w:val="21"/>
              </w:rPr>
            </w:pPr>
          </w:p>
        </w:tc>
      </w:tr>
    </w:tbl>
    <w:p w14:paraId="4A299947">
      <w:pPr>
        <w:shd w:val="clear"/>
        <w:spacing w:before="93" w:line="184" w:lineRule="auto"/>
        <w:ind w:left="308"/>
        <w:rPr>
          <w:rFonts w:ascii="宋体" w:hAnsi="宋体" w:eastAsia="宋体" w:cs="宋体"/>
          <w:sz w:val="28"/>
          <w:szCs w:val="28"/>
        </w:rPr>
        <w:sectPr>
          <w:pgSz w:w="16839" w:h="11906"/>
          <w:pgMar w:top="1012" w:right="1798" w:bottom="400" w:left="1627" w:header="0" w:footer="1134" w:gutter="0"/>
          <w:pgBorders>
            <w:top w:val="none" w:sz="0" w:space="0"/>
            <w:left w:val="none" w:sz="0" w:space="0"/>
            <w:bottom w:val="none" w:sz="0" w:space="0"/>
            <w:right w:val="none" w:sz="0" w:space="0"/>
          </w:pgBorders>
          <w:pgNumType w:fmt="numberInDash"/>
          <w:cols w:space="720" w:num="1"/>
        </w:sectPr>
      </w:pPr>
    </w:p>
    <w:p w14:paraId="5E27159B">
      <w:pPr>
        <w:shd w:val="clear"/>
        <w:spacing w:before="163"/>
      </w:pPr>
    </w:p>
    <w:tbl>
      <w:tblPr>
        <w:tblStyle w:val="18"/>
        <w:tblW w:w="13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3"/>
        <w:gridCol w:w="2535"/>
        <w:gridCol w:w="8798"/>
      </w:tblGrid>
      <w:tr w14:paraId="0B2A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073" w:type="dxa"/>
            <w:vAlign w:val="top"/>
          </w:tcPr>
          <w:p w14:paraId="55D12530">
            <w:pPr>
              <w:shd w:val="clear"/>
              <w:rPr>
                <w:rFonts w:ascii="Arial"/>
                <w:sz w:val="21"/>
              </w:rPr>
            </w:pPr>
          </w:p>
        </w:tc>
        <w:tc>
          <w:tcPr>
            <w:tcW w:w="2535" w:type="dxa"/>
            <w:vAlign w:val="top"/>
          </w:tcPr>
          <w:p w14:paraId="0E655B94">
            <w:pPr>
              <w:shd w:val="clear"/>
              <w:spacing w:before="250" w:line="222" w:lineRule="auto"/>
              <w:ind w:left="910"/>
              <w:rPr>
                <w:rFonts w:ascii="黑体" w:hAnsi="黑体" w:eastAsia="黑体" w:cs="黑体"/>
                <w:sz w:val="24"/>
                <w:szCs w:val="24"/>
              </w:rPr>
            </w:pPr>
            <w:r>
              <w:rPr>
                <w:rFonts w:ascii="黑体" w:hAnsi="黑体" w:eastAsia="黑体" w:cs="黑体"/>
                <w:spacing w:val="-5"/>
                <w:sz w:val="24"/>
                <w:szCs w:val="24"/>
              </w:rPr>
              <w:t>姓名</w:t>
            </w:r>
          </w:p>
        </w:tc>
        <w:tc>
          <w:tcPr>
            <w:tcW w:w="8798" w:type="dxa"/>
            <w:vAlign w:val="top"/>
          </w:tcPr>
          <w:p w14:paraId="6A4CE035">
            <w:pPr>
              <w:shd w:val="clear"/>
              <w:spacing w:before="249" w:line="221" w:lineRule="auto"/>
              <w:ind w:left="3480"/>
              <w:rPr>
                <w:rFonts w:ascii="黑体" w:hAnsi="黑体" w:eastAsia="黑体" w:cs="黑体"/>
                <w:sz w:val="24"/>
                <w:szCs w:val="24"/>
              </w:rPr>
            </w:pPr>
            <w:r>
              <w:rPr>
                <w:rFonts w:ascii="黑体" w:hAnsi="黑体" w:eastAsia="黑体" w:cs="黑体"/>
                <w:spacing w:val="13"/>
                <w:sz w:val="24"/>
                <w:szCs w:val="24"/>
              </w:rPr>
              <w:t>现场指挥机构职责</w:t>
            </w:r>
          </w:p>
        </w:tc>
      </w:tr>
      <w:tr w14:paraId="1A21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2073" w:type="dxa"/>
            <w:vAlign w:val="top"/>
          </w:tcPr>
          <w:p w14:paraId="4402B5FC">
            <w:pPr>
              <w:pStyle w:val="19"/>
              <w:shd w:val="clear"/>
              <w:spacing w:before="65" w:line="228" w:lineRule="auto"/>
              <w:ind w:right="289"/>
            </w:pPr>
            <w:r>
              <w:rPr>
                <w:spacing w:val="8"/>
              </w:rPr>
              <w:t>善后处置组</w:t>
            </w:r>
            <w:r>
              <w:rPr>
                <w:spacing w:val="-2"/>
              </w:rPr>
              <w:t>组长</w:t>
            </w:r>
          </w:p>
        </w:tc>
        <w:tc>
          <w:tcPr>
            <w:tcW w:w="2535" w:type="dxa"/>
            <w:vAlign w:val="top"/>
          </w:tcPr>
          <w:p w14:paraId="1DE6885D">
            <w:pPr>
              <w:pStyle w:val="19"/>
              <w:shd w:val="clear"/>
              <w:spacing w:before="224" w:line="222" w:lineRule="auto"/>
              <w:ind w:firstLine="726" w:firstLineChars="300"/>
            </w:pPr>
            <w:r>
              <w:rPr>
                <w:rFonts w:hint="eastAsia"/>
                <w:spacing w:val="1"/>
                <w:lang w:eastAsia="zh-CN"/>
              </w:rPr>
              <w:t>县</w:t>
            </w:r>
            <w:r>
              <w:rPr>
                <w:spacing w:val="1"/>
              </w:rPr>
              <w:t>应急局</w:t>
            </w:r>
          </w:p>
        </w:tc>
        <w:tc>
          <w:tcPr>
            <w:tcW w:w="8798" w:type="dxa"/>
            <w:vMerge w:val="restart"/>
            <w:tcBorders>
              <w:bottom w:val="nil"/>
            </w:tcBorders>
            <w:vAlign w:val="top"/>
          </w:tcPr>
          <w:p w14:paraId="0481E352">
            <w:pPr>
              <w:pStyle w:val="19"/>
              <w:shd w:val="clear"/>
              <w:spacing w:before="60" w:line="223" w:lineRule="auto"/>
              <w:ind w:left="132"/>
              <w:rPr>
                <w:b/>
                <w:bCs/>
              </w:rPr>
            </w:pPr>
            <w:r>
              <w:rPr>
                <w:b/>
                <w:bCs/>
                <w:spacing w:val="6"/>
              </w:rPr>
              <w:t>善后处置组</w:t>
            </w:r>
          </w:p>
          <w:p w14:paraId="64AFA7C7">
            <w:pPr>
              <w:pStyle w:val="19"/>
              <w:shd w:val="clear"/>
              <w:spacing w:before="29" w:line="233" w:lineRule="auto"/>
              <w:ind w:left="129" w:right="160" w:hanging="6"/>
            </w:pPr>
            <w:r>
              <w:rPr>
                <w:spacing w:val="7"/>
              </w:rPr>
              <w:t>组长单位：</w:t>
            </w:r>
            <w:r>
              <w:rPr>
                <w:rFonts w:hint="eastAsia"/>
                <w:spacing w:val="7"/>
                <w:lang w:eastAsia="zh-CN"/>
              </w:rPr>
              <w:t>县</w:t>
            </w:r>
            <w:r>
              <w:rPr>
                <w:spacing w:val="7"/>
              </w:rPr>
              <w:t>应急局。成员单位：</w:t>
            </w:r>
            <w:r>
              <w:rPr>
                <w:rFonts w:hint="eastAsia"/>
                <w:spacing w:val="7"/>
                <w:lang w:eastAsia="zh-CN"/>
              </w:rPr>
              <w:t>县</w:t>
            </w:r>
            <w:r>
              <w:rPr>
                <w:spacing w:val="7"/>
              </w:rPr>
              <w:t>人社局、</w:t>
            </w:r>
            <w:r>
              <w:rPr>
                <w:rFonts w:hint="eastAsia"/>
                <w:spacing w:val="7"/>
                <w:lang w:eastAsia="zh-CN"/>
              </w:rPr>
              <w:t>县卫体局</w:t>
            </w:r>
            <w:r>
              <w:rPr>
                <w:spacing w:val="7"/>
              </w:rPr>
              <w:t>、</w:t>
            </w:r>
            <w:r>
              <w:rPr>
                <w:rFonts w:hint="eastAsia"/>
                <w:spacing w:val="7"/>
                <w:lang w:eastAsia="zh-CN"/>
              </w:rPr>
              <w:t>国家金融监督管理总局浑源监管局</w:t>
            </w:r>
            <w:r>
              <w:rPr>
                <w:spacing w:val="7"/>
              </w:rPr>
              <w:t>、</w:t>
            </w:r>
            <w:r>
              <w:rPr>
                <w:rFonts w:hint="eastAsia"/>
                <w:spacing w:val="7"/>
                <w:lang w:eastAsia="zh-CN"/>
              </w:rPr>
              <w:t>县</w:t>
            </w:r>
            <w:r>
              <w:rPr>
                <w:spacing w:val="7"/>
              </w:rPr>
              <w:t>民政局、事故发生地</w:t>
            </w:r>
            <w:r>
              <w:rPr>
                <w:rFonts w:hint="eastAsia"/>
                <w:spacing w:val="7"/>
                <w:lang w:eastAsia="zh-CN"/>
              </w:rPr>
              <w:t>乡镇</w:t>
            </w:r>
            <w:r>
              <w:rPr>
                <w:spacing w:val="7"/>
              </w:rPr>
              <w:t>人民政府和</w:t>
            </w:r>
            <w:r>
              <w:rPr>
                <w:spacing w:val="6"/>
              </w:rPr>
              <w:t>事故发生单位。</w:t>
            </w:r>
          </w:p>
          <w:p w14:paraId="68A77775">
            <w:pPr>
              <w:pStyle w:val="19"/>
              <w:shd w:val="clear"/>
              <w:spacing w:before="34" w:line="233" w:lineRule="auto"/>
              <w:ind w:left="124" w:right="148" w:firstLine="9"/>
            </w:pPr>
            <w:r>
              <w:rPr>
                <w:spacing w:val="7"/>
              </w:rPr>
              <w:t>主要职责：负责做好伤亡人员家属的安抚、抚恤、理赔和遇难人员遗体处置及</w:t>
            </w:r>
            <w:r>
              <w:rPr>
                <w:spacing w:val="-1"/>
              </w:rPr>
              <w:t>有关善后工作。</w:t>
            </w:r>
          </w:p>
          <w:p w14:paraId="3F7DCBAB">
            <w:pPr>
              <w:pStyle w:val="19"/>
              <w:shd w:val="clear"/>
              <w:spacing w:before="33" w:line="222" w:lineRule="auto"/>
              <w:ind w:left="127"/>
              <w:rPr>
                <w:b/>
                <w:bCs/>
              </w:rPr>
            </w:pPr>
            <w:r>
              <w:rPr>
                <w:b/>
                <w:bCs/>
                <w:spacing w:val="8"/>
              </w:rPr>
              <w:t>技术专家组</w:t>
            </w:r>
          </w:p>
          <w:p w14:paraId="507F5394">
            <w:pPr>
              <w:pStyle w:val="19"/>
              <w:shd w:val="clear"/>
              <w:spacing w:before="32" w:line="221" w:lineRule="auto"/>
              <w:ind w:left="127"/>
            </w:pPr>
            <w:r>
              <w:rPr>
                <w:spacing w:val="6"/>
              </w:rPr>
              <w:t>组长单位：</w:t>
            </w:r>
            <w:r>
              <w:rPr>
                <w:rFonts w:hint="eastAsia"/>
                <w:spacing w:val="6"/>
                <w:lang w:eastAsia="zh-CN"/>
              </w:rPr>
              <w:t>县</w:t>
            </w:r>
            <w:r>
              <w:rPr>
                <w:spacing w:val="6"/>
              </w:rPr>
              <w:t>应急局。成员单位：</w:t>
            </w:r>
            <w:r>
              <w:rPr>
                <w:rFonts w:hint="eastAsia"/>
                <w:spacing w:val="6"/>
                <w:lang w:eastAsia="zh-CN"/>
              </w:rPr>
              <w:t>行业主管部门</w:t>
            </w:r>
            <w:r>
              <w:rPr>
                <w:spacing w:val="6"/>
              </w:rPr>
              <w:t>和事故发生单位等。</w:t>
            </w:r>
          </w:p>
          <w:p w14:paraId="3783B9CF">
            <w:pPr>
              <w:pStyle w:val="19"/>
              <w:shd w:val="clear"/>
              <w:spacing w:before="32" w:line="233" w:lineRule="auto"/>
              <w:ind w:left="135" w:right="144" w:firstLine="5"/>
            </w:pPr>
            <w:r>
              <w:rPr>
                <w:spacing w:val="12"/>
              </w:rPr>
              <w:t>主要职责：根据需要抽调有关专家组成专家组，为应急处置</w:t>
            </w:r>
            <w:r>
              <w:rPr>
                <w:spacing w:val="11"/>
              </w:rPr>
              <w:t>和救援、调查评估</w:t>
            </w:r>
            <w:r>
              <w:rPr>
                <w:spacing w:val="3"/>
              </w:rPr>
              <w:t>等工作提供技术支撑。</w:t>
            </w:r>
          </w:p>
          <w:p w14:paraId="2A911A65">
            <w:pPr>
              <w:pStyle w:val="19"/>
              <w:shd w:val="clear"/>
              <w:spacing w:before="35" w:line="221" w:lineRule="auto"/>
              <w:ind w:left="127"/>
            </w:pPr>
            <w:r>
              <w:rPr>
                <w:spacing w:val="15"/>
              </w:rPr>
              <w:t>各组组长单位和成员单位由前线指挥部指挥长根据实际情况确定和调整。</w:t>
            </w:r>
          </w:p>
        </w:tc>
      </w:tr>
      <w:tr w14:paraId="1F74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2073" w:type="dxa"/>
            <w:vAlign w:val="top"/>
          </w:tcPr>
          <w:p w14:paraId="6D5297B0">
            <w:pPr>
              <w:shd w:val="clear"/>
              <w:spacing w:line="313" w:lineRule="auto"/>
              <w:rPr>
                <w:rFonts w:ascii="Arial"/>
                <w:sz w:val="21"/>
              </w:rPr>
            </w:pPr>
          </w:p>
          <w:p w14:paraId="0919A98D">
            <w:pPr>
              <w:shd w:val="clear"/>
              <w:spacing w:line="313" w:lineRule="auto"/>
              <w:rPr>
                <w:rFonts w:ascii="Arial"/>
                <w:sz w:val="21"/>
              </w:rPr>
            </w:pPr>
          </w:p>
          <w:p w14:paraId="1CAD6C64">
            <w:pPr>
              <w:shd w:val="clear"/>
              <w:spacing w:line="314" w:lineRule="auto"/>
              <w:rPr>
                <w:rFonts w:ascii="Arial"/>
                <w:sz w:val="21"/>
              </w:rPr>
            </w:pPr>
          </w:p>
          <w:p w14:paraId="47520C54">
            <w:pPr>
              <w:pStyle w:val="19"/>
              <w:shd w:val="clear"/>
              <w:spacing w:before="78" w:line="224" w:lineRule="auto"/>
              <w:ind w:left="686"/>
            </w:pPr>
            <w:r>
              <w:rPr>
                <w:spacing w:val="-8"/>
              </w:rPr>
              <w:t>成员</w:t>
            </w:r>
          </w:p>
        </w:tc>
        <w:tc>
          <w:tcPr>
            <w:tcW w:w="2535" w:type="dxa"/>
            <w:vAlign w:val="top"/>
          </w:tcPr>
          <w:p w14:paraId="21694E1F">
            <w:pPr>
              <w:pStyle w:val="19"/>
              <w:shd w:val="clear"/>
              <w:spacing w:before="67" w:line="241" w:lineRule="auto"/>
              <w:ind w:left="156" w:right="128" w:hanging="13"/>
              <w:jc w:val="both"/>
            </w:pPr>
            <w:r>
              <w:rPr>
                <w:rFonts w:hint="eastAsia"/>
                <w:spacing w:val="-10"/>
                <w:lang w:eastAsia="zh-CN"/>
              </w:rPr>
              <w:t>县</w:t>
            </w:r>
            <w:r>
              <w:rPr>
                <w:spacing w:val="-10"/>
              </w:rPr>
              <w:t>人社局、</w:t>
            </w:r>
            <w:r>
              <w:rPr>
                <w:rFonts w:hint="eastAsia"/>
                <w:spacing w:val="-10"/>
                <w:lang w:eastAsia="zh-CN"/>
              </w:rPr>
              <w:t>县卫体局</w:t>
            </w:r>
            <w:r>
              <w:rPr>
                <w:spacing w:val="-10"/>
              </w:rPr>
              <w:t>、</w:t>
            </w:r>
            <w:r>
              <w:rPr>
                <w:rFonts w:hint="eastAsia"/>
                <w:spacing w:val="13"/>
                <w:lang w:eastAsia="zh-CN"/>
              </w:rPr>
              <w:t>国家金融监督管理总局浑源监管局</w:t>
            </w:r>
            <w:r>
              <w:rPr>
                <w:spacing w:val="10"/>
              </w:rPr>
              <w:t>、</w:t>
            </w:r>
            <w:r>
              <w:rPr>
                <w:rFonts w:hint="eastAsia"/>
                <w:spacing w:val="10"/>
                <w:lang w:eastAsia="zh-CN"/>
              </w:rPr>
              <w:t>县</w:t>
            </w:r>
            <w:r>
              <w:rPr>
                <w:spacing w:val="-7"/>
              </w:rPr>
              <w:t>民政局、事故发地</w:t>
            </w:r>
            <w:r>
              <w:rPr>
                <w:rFonts w:hint="eastAsia"/>
                <w:lang w:eastAsia="zh-CN"/>
              </w:rPr>
              <w:t>乡镇</w:t>
            </w:r>
            <w:r>
              <w:rPr>
                <w:spacing w:val="-19"/>
              </w:rPr>
              <w:t>人民政府和事故发</w:t>
            </w:r>
            <w:r>
              <w:rPr>
                <w:spacing w:val="-10"/>
              </w:rPr>
              <w:t>生单位。</w:t>
            </w:r>
          </w:p>
        </w:tc>
        <w:tc>
          <w:tcPr>
            <w:tcW w:w="8798" w:type="dxa"/>
            <w:vMerge w:val="continue"/>
            <w:tcBorders>
              <w:top w:val="nil"/>
              <w:bottom w:val="nil"/>
            </w:tcBorders>
            <w:vAlign w:val="top"/>
          </w:tcPr>
          <w:p w14:paraId="3901B8A4">
            <w:pPr>
              <w:shd w:val="clear"/>
              <w:rPr>
                <w:rFonts w:ascii="Arial"/>
                <w:sz w:val="21"/>
              </w:rPr>
            </w:pPr>
          </w:p>
        </w:tc>
      </w:tr>
      <w:tr w14:paraId="5447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073" w:type="dxa"/>
            <w:vAlign w:val="top"/>
          </w:tcPr>
          <w:p w14:paraId="6C12AC53">
            <w:pPr>
              <w:pStyle w:val="19"/>
              <w:shd w:val="clear"/>
              <w:spacing w:before="65" w:line="227" w:lineRule="auto"/>
              <w:ind w:right="286"/>
            </w:pPr>
            <w:r>
              <w:rPr>
                <w:spacing w:val="10"/>
              </w:rPr>
              <w:t>技术专家组</w:t>
            </w:r>
            <w:r>
              <w:rPr>
                <w:spacing w:val="-1"/>
              </w:rPr>
              <w:t>组长</w:t>
            </w:r>
          </w:p>
        </w:tc>
        <w:tc>
          <w:tcPr>
            <w:tcW w:w="2535" w:type="dxa"/>
            <w:vAlign w:val="top"/>
          </w:tcPr>
          <w:p w14:paraId="22C761BC">
            <w:pPr>
              <w:pStyle w:val="19"/>
              <w:shd w:val="clear"/>
              <w:spacing w:before="227" w:line="222" w:lineRule="auto"/>
              <w:ind w:firstLine="726" w:firstLineChars="300"/>
            </w:pPr>
            <w:r>
              <w:rPr>
                <w:rFonts w:hint="eastAsia"/>
                <w:spacing w:val="1"/>
                <w:lang w:eastAsia="zh-CN"/>
              </w:rPr>
              <w:t>县</w:t>
            </w:r>
            <w:r>
              <w:rPr>
                <w:spacing w:val="1"/>
              </w:rPr>
              <w:t>应急局</w:t>
            </w:r>
          </w:p>
        </w:tc>
        <w:tc>
          <w:tcPr>
            <w:tcW w:w="8798" w:type="dxa"/>
            <w:vMerge w:val="continue"/>
            <w:tcBorders>
              <w:top w:val="nil"/>
              <w:bottom w:val="nil"/>
            </w:tcBorders>
            <w:vAlign w:val="top"/>
          </w:tcPr>
          <w:p w14:paraId="41D98B3D">
            <w:pPr>
              <w:shd w:val="clear"/>
              <w:rPr>
                <w:rFonts w:ascii="Arial"/>
                <w:sz w:val="21"/>
              </w:rPr>
            </w:pPr>
          </w:p>
        </w:tc>
      </w:tr>
      <w:tr w14:paraId="76DDE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2073" w:type="dxa"/>
            <w:vAlign w:val="top"/>
          </w:tcPr>
          <w:p w14:paraId="748EBF4A">
            <w:pPr>
              <w:shd w:val="clear"/>
              <w:spacing w:line="328" w:lineRule="auto"/>
              <w:rPr>
                <w:rFonts w:ascii="Arial"/>
                <w:sz w:val="21"/>
              </w:rPr>
            </w:pPr>
          </w:p>
          <w:p w14:paraId="25DD6523">
            <w:pPr>
              <w:shd w:val="clear"/>
              <w:spacing w:line="328" w:lineRule="auto"/>
              <w:rPr>
                <w:rFonts w:ascii="Arial"/>
                <w:sz w:val="21"/>
              </w:rPr>
            </w:pPr>
          </w:p>
          <w:p w14:paraId="7F064B49">
            <w:pPr>
              <w:pStyle w:val="19"/>
              <w:shd w:val="clear"/>
              <w:spacing w:before="78" w:line="224" w:lineRule="auto"/>
              <w:ind w:left="686"/>
            </w:pPr>
            <w:r>
              <w:rPr>
                <w:spacing w:val="-8"/>
              </w:rPr>
              <w:t>成员</w:t>
            </w:r>
          </w:p>
        </w:tc>
        <w:tc>
          <w:tcPr>
            <w:tcW w:w="2535" w:type="dxa"/>
            <w:vAlign w:val="top"/>
          </w:tcPr>
          <w:p w14:paraId="21D1D6B0">
            <w:pPr>
              <w:shd w:val="clear"/>
              <w:spacing w:line="337" w:lineRule="auto"/>
              <w:rPr>
                <w:rFonts w:ascii="Arial"/>
                <w:sz w:val="21"/>
              </w:rPr>
            </w:pPr>
          </w:p>
          <w:p w14:paraId="79F44734">
            <w:pPr>
              <w:pStyle w:val="19"/>
              <w:shd w:val="clear"/>
              <w:spacing w:before="78" w:line="234" w:lineRule="auto"/>
              <w:ind w:right="147"/>
              <w:rPr>
                <w:rFonts w:hint="eastAsia" w:eastAsia="仿宋"/>
                <w:lang w:eastAsia="zh-CN"/>
              </w:rPr>
            </w:pPr>
            <w:r>
              <w:rPr>
                <w:rFonts w:hint="eastAsia"/>
                <w:spacing w:val="6"/>
                <w:lang w:eastAsia="zh-CN"/>
              </w:rPr>
              <w:t>行业主管部门</w:t>
            </w:r>
            <w:r>
              <w:rPr>
                <w:spacing w:val="6"/>
              </w:rPr>
              <w:t>和事故发生单位</w:t>
            </w:r>
            <w:r>
              <w:rPr>
                <w:rFonts w:hint="eastAsia"/>
                <w:spacing w:val="6"/>
                <w:lang w:eastAsia="zh-CN"/>
              </w:rPr>
              <w:t>。</w:t>
            </w:r>
          </w:p>
        </w:tc>
        <w:tc>
          <w:tcPr>
            <w:tcW w:w="8798" w:type="dxa"/>
            <w:vMerge w:val="continue"/>
            <w:tcBorders>
              <w:top w:val="nil"/>
            </w:tcBorders>
            <w:vAlign w:val="top"/>
          </w:tcPr>
          <w:p w14:paraId="7CC0874C">
            <w:pPr>
              <w:shd w:val="clear"/>
              <w:rPr>
                <w:rFonts w:ascii="Arial"/>
                <w:sz w:val="21"/>
              </w:rPr>
            </w:pPr>
          </w:p>
        </w:tc>
      </w:tr>
    </w:tbl>
    <w:p w14:paraId="3ED19606">
      <w:pPr>
        <w:shd w:val="clear"/>
        <w:spacing w:line="244" w:lineRule="auto"/>
        <w:rPr>
          <w:rFonts w:ascii="Arial"/>
          <w:sz w:val="21"/>
        </w:rPr>
      </w:pPr>
    </w:p>
    <w:p w14:paraId="02EA5601">
      <w:pPr>
        <w:shd w:val="clear"/>
        <w:spacing w:line="244" w:lineRule="auto"/>
        <w:rPr>
          <w:rFonts w:ascii="Arial"/>
          <w:sz w:val="21"/>
        </w:rPr>
      </w:pPr>
    </w:p>
    <w:p w14:paraId="6EA35A80">
      <w:pPr>
        <w:shd w:val="clear"/>
        <w:spacing w:line="244" w:lineRule="auto"/>
        <w:rPr>
          <w:rFonts w:ascii="Arial"/>
          <w:sz w:val="21"/>
        </w:rPr>
      </w:pPr>
    </w:p>
    <w:p w14:paraId="408A62A9">
      <w:pPr>
        <w:shd w:val="clear"/>
        <w:spacing w:line="244" w:lineRule="auto"/>
        <w:rPr>
          <w:rFonts w:ascii="Arial"/>
          <w:sz w:val="21"/>
        </w:rPr>
      </w:pPr>
    </w:p>
    <w:p w14:paraId="4AA79397">
      <w:pPr>
        <w:shd w:val="clear"/>
        <w:spacing w:line="244" w:lineRule="auto"/>
        <w:rPr>
          <w:rFonts w:ascii="Arial"/>
          <w:sz w:val="21"/>
        </w:rPr>
      </w:pPr>
    </w:p>
    <w:p w14:paraId="291D5CC6">
      <w:pPr>
        <w:shd w:val="clear"/>
        <w:spacing w:line="244" w:lineRule="auto"/>
        <w:rPr>
          <w:rFonts w:ascii="Arial"/>
          <w:sz w:val="21"/>
        </w:rPr>
      </w:pPr>
    </w:p>
    <w:p w14:paraId="32001F37">
      <w:pPr>
        <w:shd w:val="clear"/>
        <w:spacing w:line="244" w:lineRule="auto"/>
        <w:rPr>
          <w:rFonts w:ascii="Arial"/>
          <w:sz w:val="21"/>
        </w:rPr>
      </w:pPr>
    </w:p>
    <w:p w14:paraId="3E0DA54B">
      <w:pPr>
        <w:shd w:val="clear"/>
        <w:spacing w:line="244" w:lineRule="auto"/>
        <w:rPr>
          <w:rFonts w:ascii="Arial"/>
          <w:sz w:val="21"/>
        </w:rPr>
      </w:pPr>
    </w:p>
    <w:p w14:paraId="18C5BB4F">
      <w:pPr>
        <w:shd w:val="clear"/>
        <w:spacing w:line="244" w:lineRule="auto"/>
        <w:rPr>
          <w:rFonts w:ascii="Arial"/>
          <w:sz w:val="21"/>
        </w:rPr>
      </w:pPr>
    </w:p>
    <w:p w14:paraId="4356CA3F">
      <w:pPr>
        <w:shd w:val="clear"/>
        <w:spacing w:line="245" w:lineRule="auto"/>
        <w:rPr>
          <w:rFonts w:ascii="Arial"/>
          <w:sz w:val="21"/>
        </w:rPr>
      </w:pPr>
    </w:p>
    <w:p w14:paraId="35044739">
      <w:pPr>
        <w:shd w:val="clear"/>
        <w:spacing w:line="245" w:lineRule="auto"/>
        <w:rPr>
          <w:rFonts w:ascii="Arial"/>
          <w:sz w:val="21"/>
        </w:rPr>
      </w:pPr>
    </w:p>
    <w:p w14:paraId="370D3BF9">
      <w:pPr>
        <w:shd w:val="clear"/>
        <w:spacing w:line="245" w:lineRule="auto"/>
        <w:rPr>
          <w:rFonts w:ascii="Arial"/>
          <w:sz w:val="21"/>
        </w:rPr>
      </w:pPr>
    </w:p>
    <w:p w14:paraId="058643B2">
      <w:pPr>
        <w:shd w:val="clear"/>
        <w:spacing w:line="245" w:lineRule="auto"/>
        <w:rPr>
          <w:rFonts w:ascii="Arial"/>
          <w:sz w:val="21"/>
        </w:rPr>
      </w:pPr>
    </w:p>
    <w:p w14:paraId="38EBA525">
      <w:pPr>
        <w:shd w:val="clear"/>
        <w:spacing w:line="245" w:lineRule="auto"/>
        <w:rPr>
          <w:rFonts w:ascii="Arial"/>
          <w:sz w:val="21"/>
        </w:rPr>
      </w:pPr>
    </w:p>
    <w:p w14:paraId="7FC7909F">
      <w:pPr>
        <w:shd w:val="clear"/>
        <w:spacing w:before="91" w:line="184" w:lineRule="auto"/>
        <w:ind w:left="12281"/>
        <w:rPr>
          <w:rFonts w:ascii="宋体" w:hAnsi="宋体" w:eastAsia="宋体" w:cs="宋体"/>
          <w:sz w:val="28"/>
          <w:szCs w:val="28"/>
        </w:rPr>
      </w:pPr>
    </w:p>
    <w:p w14:paraId="43E75EAF">
      <w:pPr>
        <w:shd w:val="clear"/>
        <w:spacing w:line="184" w:lineRule="auto"/>
        <w:rPr>
          <w:rFonts w:ascii="宋体" w:hAnsi="宋体" w:eastAsia="宋体" w:cs="宋体"/>
          <w:sz w:val="28"/>
          <w:szCs w:val="28"/>
        </w:rPr>
        <w:sectPr>
          <w:footerReference r:id="rId6" w:type="default"/>
          <w:pgSz w:w="16839" w:h="11906"/>
          <w:pgMar w:top="1012" w:right="1798" w:bottom="400" w:left="1627" w:header="0" w:footer="1134" w:gutter="0"/>
          <w:pgBorders>
            <w:top w:val="none" w:sz="0" w:space="0"/>
            <w:left w:val="none" w:sz="0" w:space="0"/>
            <w:bottom w:val="none" w:sz="0" w:space="0"/>
            <w:right w:val="none" w:sz="0" w:space="0"/>
          </w:pgBorders>
          <w:pgNumType w:fmt="numberInDash"/>
          <w:cols w:space="720" w:num="1"/>
        </w:sectPr>
      </w:pPr>
    </w:p>
    <w:p w14:paraId="0FA484FC">
      <w:pPr>
        <w:shd w:val="clear"/>
        <w:spacing w:before="101" w:line="23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14:paraId="709BC840">
      <w:pPr>
        <w:shd w:val="clear"/>
        <w:spacing w:before="218" w:line="225" w:lineRule="auto"/>
        <w:ind w:left="2112"/>
        <w:outlineLvl w:val="0"/>
        <w:rPr>
          <w:rFonts w:ascii="黑体" w:hAnsi="黑体" w:eastAsia="黑体" w:cs="黑体"/>
          <w:sz w:val="43"/>
          <w:szCs w:val="43"/>
        </w:rPr>
      </w:pPr>
      <w:bookmarkStart w:id="46" w:name="_Toc5950"/>
      <w:r>
        <w:rPr>
          <w:rFonts w:hint="eastAsia" w:ascii="黑体" w:hAnsi="黑体" w:eastAsia="黑体" w:cs="黑体"/>
          <w:spacing w:val="29"/>
          <w:sz w:val="43"/>
          <w:szCs w:val="43"/>
          <w:lang w:eastAsia="zh-CN"/>
        </w:rPr>
        <w:t>县</w:t>
      </w:r>
      <w:r>
        <w:rPr>
          <w:rFonts w:ascii="黑体" w:hAnsi="黑体" w:eastAsia="黑体" w:cs="黑体"/>
          <w:spacing w:val="29"/>
          <w:sz w:val="43"/>
          <w:szCs w:val="43"/>
        </w:rPr>
        <w:t>级冶金工贸行业生产安全事故应急响应条件</w:t>
      </w:r>
      <w:bookmarkEnd w:id="46"/>
    </w:p>
    <w:p w14:paraId="11F554EB">
      <w:pPr>
        <w:shd w:val="clear"/>
        <w:spacing w:before="52"/>
      </w:pPr>
    </w:p>
    <w:tbl>
      <w:tblPr>
        <w:tblStyle w:val="18"/>
        <w:tblW w:w="134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7"/>
        <w:gridCol w:w="4256"/>
        <w:gridCol w:w="5204"/>
      </w:tblGrid>
      <w:tr w14:paraId="55F8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3957" w:type="dxa"/>
            <w:vAlign w:val="top"/>
          </w:tcPr>
          <w:p w14:paraId="64863077">
            <w:pPr>
              <w:shd w:val="clear"/>
              <w:spacing w:before="192" w:line="222" w:lineRule="auto"/>
              <w:ind w:left="1479"/>
              <w:rPr>
                <w:rFonts w:ascii="黑体" w:hAnsi="黑体" w:eastAsia="黑体" w:cs="黑体"/>
                <w:sz w:val="28"/>
                <w:szCs w:val="28"/>
              </w:rPr>
            </w:pPr>
            <w:r>
              <w:rPr>
                <w:rFonts w:ascii="黑体" w:hAnsi="黑体" w:eastAsia="黑体" w:cs="黑体"/>
                <w:spacing w:val="-16"/>
                <w:sz w:val="28"/>
                <w:szCs w:val="28"/>
              </w:rPr>
              <w:t>Ⅲ级响应</w:t>
            </w:r>
          </w:p>
        </w:tc>
        <w:tc>
          <w:tcPr>
            <w:tcW w:w="4256" w:type="dxa"/>
            <w:vAlign w:val="top"/>
          </w:tcPr>
          <w:p w14:paraId="16C84C79">
            <w:pPr>
              <w:shd w:val="clear"/>
              <w:spacing w:before="192" w:line="222" w:lineRule="auto"/>
              <w:ind w:left="1652"/>
              <w:rPr>
                <w:rFonts w:ascii="黑体" w:hAnsi="黑体" w:eastAsia="黑体" w:cs="黑体"/>
                <w:sz w:val="28"/>
                <w:szCs w:val="28"/>
              </w:rPr>
            </w:pPr>
            <w:r>
              <w:rPr>
                <w:rFonts w:ascii="黑体" w:hAnsi="黑体" w:eastAsia="黑体" w:cs="黑体"/>
                <w:spacing w:val="-22"/>
                <w:sz w:val="28"/>
                <w:szCs w:val="28"/>
              </w:rPr>
              <w:t>Ⅱ级响应</w:t>
            </w:r>
          </w:p>
        </w:tc>
        <w:tc>
          <w:tcPr>
            <w:tcW w:w="5204" w:type="dxa"/>
            <w:vAlign w:val="top"/>
          </w:tcPr>
          <w:p w14:paraId="55534114">
            <w:pPr>
              <w:shd w:val="clear"/>
              <w:spacing w:before="192" w:line="222" w:lineRule="auto"/>
              <w:ind w:left="2170"/>
              <w:rPr>
                <w:rFonts w:ascii="黑体" w:hAnsi="黑体" w:eastAsia="黑体" w:cs="黑体"/>
                <w:sz w:val="28"/>
                <w:szCs w:val="28"/>
              </w:rPr>
            </w:pPr>
            <w:r>
              <w:rPr>
                <w:rFonts w:ascii="黑体" w:hAnsi="黑体" w:eastAsia="黑体" w:cs="黑体"/>
                <w:spacing w:val="-33"/>
                <w:sz w:val="28"/>
                <w:szCs w:val="28"/>
              </w:rPr>
              <w:t>Ⅰ级响应</w:t>
            </w:r>
          </w:p>
        </w:tc>
      </w:tr>
      <w:tr w14:paraId="42CA0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3957" w:type="dxa"/>
            <w:vAlign w:val="top"/>
          </w:tcPr>
          <w:p w14:paraId="7E2B78DD">
            <w:pPr>
              <w:shd w:val="clear"/>
              <w:spacing w:line="282" w:lineRule="auto"/>
              <w:rPr>
                <w:rFonts w:ascii="Arial"/>
                <w:sz w:val="21"/>
              </w:rPr>
            </w:pPr>
          </w:p>
          <w:p w14:paraId="3645C249">
            <w:pPr>
              <w:shd w:val="clear"/>
              <w:spacing w:line="282" w:lineRule="auto"/>
              <w:rPr>
                <w:rFonts w:ascii="Arial"/>
                <w:sz w:val="21"/>
              </w:rPr>
            </w:pPr>
          </w:p>
          <w:p w14:paraId="11055F8F">
            <w:pPr>
              <w:shd w:val="clear"/>
              <w:spacing w:line="282" w:lineRule="auto"/>
              <w:rPr>
                <w:rFonts w:ascii="Arial"/>
                <w:sz w:val="21"/>
              </w:rPr>
            </w:pPr>
          </w:p>
          <w:p w14:paraId="2BE79DC5">
            <w:pPr>
              <w:shd w:val="clear"/>
              <w:spacing w:line="282" w:lineRule="auto"/>
              <w:rPr>
                <w:rFonts w:ascii="Arial"/>
                <w:sz w:val="21"/>
              </w:rPr>
            </w:pPr>
          </w:p>
          <w:p w14:paraId="56B0ABF4">
            <w:pPr>
              <w:pStyle w:val="19"/>
              <w:shd w:val="clear"/>
              <w:spacing w:before="91" w:line="223" w:lineRule="auto"/>
              <w:ind w:left="140"/>
              <w:rPr>
                <w:sz w:val="28"/>
                <w:szCs w:val="28"/>
              </w:rPr>
            </w:pPr>
            <w:r>
              <w:rPr>
                <w:spacing w:val="-4"/>
                <w:sz w:val="28"/>
                <w:szCs w:val="28"/>
              </w:rPr>
              <w:t>1.发生一般事故；</w:t>
            </w:r>
          </w:p>
          <w:p w14:paraId="0887BD67">
            <w:pPr>
              <w:pStyle w:val="19"/>
              <w:shd w:val="clear"/>
              <w:spacing w:before="62" w:line="248" w:lineRule="auto"/>
              <w:ind w:left="132" w:right="246" w:hanging="9"/>
              <w:rPr>
                <w:sz w:val="28"/>
                <w:szCs w:val="28"/>
              </w:rPr>
            </w:pPr>
            <w:r>
              <w:rPr>
                <w:spacing w:val="-7"/>
                <w:sz w:val="28"/>
                <w:szCs w:val="28"/>
              </w:rPr>
              <w:t>2.造成3人以下涉险、被困、</w:t>
            </w:r>
            <w:r>
              <w:rPr>
                <w:spacing w:val="-4"/>
                <w:sz w:val="28"/>
                <w:szCs w:val="28"/>
              </w:rPr>
              <w:t>失联的事故；</w:t>
            </w:r>
          </w:p>
          <w:p w14:paraId="6E4E1F7F">
            <w:pPr>
              <w:pStyle w:val="19"/>
              <w:shd w:val="clear"/>
              <w:spacing w:before="47" w:line="249" w:lineRule="auto"/>
              <w:ind w:left="131" w:right="201" w:hanging="6"/>
              <w:rPr>
                <w:sz w:val="28"/>
                <w:szCs w:val="28"/>
              </w:rPr>
            </w:pPr>
            <w:r>
              <w:rPr>
                <w:spacing w:val="-2"/>
                <w:sz w:val="28"/>
                <w:szCs w:val="28"/>
              </w:rPr>
              <w:t>3.</w:t>
            </w:r>
            <w:r>
              <w:rPr>
                <w:rFonts w:hint="eastAsia"/>
                <w:spacing w:val="-2"/>
                <w:sz w:val="28"/>
                <w:szCs w:val="28"/>
                <w:lang w:eastAsia="zh-CN"/>
              </w:rPr>
              <w:t>县</w:t>
            </w:r>
            <w:r>
              <w:rPr>
                <w:spacing w:val="-2"/>
                <w:sz w:val="28"/>
                <w:szCs w:val="28"/>
              </w:rPr>
              <w:t>指挥部办公室认为需要启动Ⅲ级响应的其他情形。</w:t>
            </w:r>
          </w:p>
        </w:tc>
        <w:tc>
          <w:tcPr>
            <w:tcW w:w="4256" w:type="dxa"/>
            <w:vAlign w:val="top"/>
          </w:tcPr>
          <w:p w14:paraId="247BF2A7">
            <w:pPr>
              <w:shd w:val="clear"/>
              <w:spacing w:line="282" w:lineRule="auto"/>
              <w:rPr>
                <w:rFonts w:ascii="Arial"/>
                <w:sz w:val="21"/>
              </w:rPr>
            </w:pPr>
          </w:p>
          <w:p w14:paraId="1C9E612E">
            <w:pPr>
              <w:shd w:val="clear"/>
              <w:spacing w:line="282" w:lineRule="auto"/>
              <w:rPr>
                <w:rFonts w:ascii="Arial"/>
                <w:sz w:val="21"/>
              </w:rPr>
            </w:pPr>
          </w:p>
          <w:p w14:paraId="7EEAEE8B">
            <w:pPr>
              <w:shd w:val="clear"/>
              <w:spacing w:line="282" w:lineRule="auto"/>
              <w:rPr>
                <w:rFonts w:ascii="Arial"/>
                <w:sz w:val="21"/>
              </w:rPr>
            </w:pPr>
          </w:p>
          <w:p w14:paraId="3C42FFA2">
            <w:pPr>
              <w:shd w:val="clear"/>
              <w:spacing w:line="282" w:lineRule="auto"/>
              <w:rPr>
                <w:rFonts w:ascii="Arial"/>
                <w:sz w:val="21"/>
              </w:rPr>
            </w:pPr>
          </w:p>
          <w:p w14:paraId="3BED4F0C">
            <w:pPr>
              <w:pStyle w:val="19"/>
              <w:shd w:val="clear"/>
              <w:spacing w:before="91" w:line="222" w:lineRule="auto"/>
              <w:ind w:left="138"/>
              <w:rPr>
                <w:sz w:val="28"/>
                <w:szCs w:val="28"/>
              </w:rPr>
            </w:pPr>
            <w:r>
              <w:rPr>
                <w:spacing w:val="-4"/>
                <w:sz w:val="28"/>
                <w:szCs w:val="28"/>
              </w:rPr>
              <w:t>1.发生较大事故；</w:t>
            </w:r>
          </w:p>
          <w:p w14:paraId="0B6E67AE">
            <w:pPr>
              <w:pStyle w:val="19"/>
              <w:shd w:val="clear"/>
              <w:spacing w:before="63" w:line="248" w:lineRule="auto"/>
              <w:ind w:left="126" w:right="127" w:hanging="5"/>
              <w:rPr>
                <w:sz w:val="28"/>
                <w:szCs w:val="28"/>
              </w:rPr>
            </w:pPr>
            <w:r>
              <w:rPr>
                <w:spacing w:val="-10"/>
                <w:sz w:val="28"/>
                <w:szCs w:val="28"/>
              </w:rPr>
              <w:t>2.造成3人以上10人以下涉险、</w:t>
            </w:r>
            <w:r>
              <w:rPr>
                <w:spacing w:val="-2"/>
                <w:sz w:val="28"/>
                <w:szCs w:val="28"/>
              </w:rPr>
              <w:t>被困、失联的事故；</w:t>
            </w:r>
          </w:p>
          <w:p w14:paraId="4A81905F">
            <w:pPr>
              <w:pStyle w:val="19"/>
              <w:shd w:val="clear"/>
              <w:spacing w:before="47" w:line="249" w:lineRule="auto"/>
              <w:ind w:left="166" w:right="221" w:hanging="43"/>
              <w:rPr>
                <w:sz w:val="28"/>
                <w:szCs w:val="28"/>
              </w:rPr>
            </w:pPr>
            <w:r>
              <w:rPr>
                <w:spacing w:val="-1"/>
                <w:sz w:val="28"/>
                <w:szCs w:val="28"/>
              </w:rPr>
              <w:t>3.</w:t>
            </w:r>
            <w:r>
              <w:rPr>
                <w:rFonts w:hint="eastAsia"/>
                <w:spacing w:val="-1"/>
                <w:sz w:val="28"/>
                <w:szCs w:val="28"/>
                <w:lang w:eastAsia="zh-CN"/>
              </w:rPr>
              <w:t>市</w:t>
            </w:r>
            <w:r>
              <w:rPr>
                <w:spacing w:val="-1"/>
                <w:sz w:val="28"/>
                <w:szCs w:val="28"/>
              </w:rPr>
              <w:t>指挥部办公室认为需要启动</w:t>
            </w:r>
            <w:r>
              <w:rPr>
                <w:spacing w:val="-6"/>
                <w:sz w:val="28"/>
                <w:szCs w:val="28"/>
              </w:rPr>
              <w:t>Ⅱ级响应的其他情形。</w:t>
            </w:r>
          </w:p>
        </w:tc>
        <w:tc>
          <w:tcPr>
            <w:tcW w:w="5204" w:type="dxa"/>
            <w:vAlign w:val="top"/>
          </w:tcPr>
          <w:p w14:paraId="45A7440D">
            <w:pPr>
              <w:shd w:val="clear"/>
              <w:spacing w:line="310" w:lineRule="auto"/>
              <w:rPr>
                <w:rFonts w:ascii="Arial"/>
                <w:sz w:val="21"/>
              </w:rPr>
            </w:pPr>
          </w:p>
          <w:p w14:paraId="533E8E5D">
            <w:pPr>
              <w:shd w:val="clear"/>
              <w:spacing w:line="310" w:lineRule="auto"/>
              <w:rPr>
                <w:rFonts w:ascii="Arial"/>
                <w:sz w:val="21"/>
              </w:rPr>
            </w:pPr>
          </w:p>
          <w:p w14:paraId="0D6C7DDC">
            <w:pPr>
              <w:shd w:val="clear"/>
              <w:spacing w:line="310" w:lineRule="auto"/>
              <w:rPr>
                <w:rFonts w:ascii="Arial"/>
                <w:sz w:val="21"/>
              </w:rPr>
            </w:pPr>
          </w:p>
          <w:p w14:paraId="13D9FB43">
            <w:pPr>
              <w:pStyle w:val="19"/>
              <w:shd w:val="clear"/>
              <w:spacing w:before="91" w:line="223" w:lineRule="auto"/>
              <w:ind w:left="142"/>
              <w:rPr>
                <w:sz w:val="28"/>
                <w:szCs w:val="28"/>
              </w:rPr>
            </w:pPr>
            <w:r>
              <w:rPr>
                <w:spacing w:val="-3"/>
                <w:sz w:val="28"/>
                <w:szCs w:val="28"/>
              </w:rPr>
              <w:t>1.发生重大以上事故；</w:t>
            </w:r>
          </w:p>
          <w:p w14:paraId="1F138CDF">
            <w:pPr>
              <w:pStyle w:val="19"/>
              <w:shd w:val="clear"/>
              <w:spacing w:before="61" w:line="249" w:lineRule="auto"/>
              <w:ind w:left="131" w:right="109" w:hanging="6"/>
              <w:rPr>
                <w:sz w:val="28"/>
                <w:szCs w:val="28"/>
              </w:rPr>
            </w:pPr>
            <w:r>
              <w:rPr>
                <w:spacing w:val="-7"/>
                <w:sz w:val="28"/>
                <w:szCs w:val="28"/>
              </w:rPr>
              <w:t>2.造成10人以上涉险、被困、失联的事</w:t>
            </w:r>
            <w:r>
              <w:rPr>
                <w:spacing w:val="-10"/>
                <w:sz w:val="28"/>
                <w:szCs w:val="28"/>
              </w:rPr>
              <w:t>故；</w:t>
            </w:r>
          </w:p>
          <w:p w14:paraId="6738795F">
            <w:pPr>
              <w:pStyle w:val="19"/>
              <w:shd w:val="clear"/>
              <w:spacing w:before="46" w:line="253" w:lineRule="auto"/>
              <w:ind w:left="120" w:right="325" w:firstLine="6"/>
              <w:rPr>
                <w:sz w:val="28"/>
                <w:szCs w:val="28"/>
              </w:rPr>
            </w:pPr>
            <w:r>
              <w:rPr>
                <w:spacing w:val="-1"/>
                <w:sz w:val="28"/>
                <w:szCs w:val="28"/>
              </w:rPr>
              <w:t>3.超出</w:t>
            </w:r>
            <w:r>
              <w:rPr>
                <w:rFonts w:hint="eastAsia"/>
                <w:spacing w:val="-1"/>
                <w:sz w:val="28"/>
                <w:szCs w:val="28"/>
                <w:lang w:eastAsia="zh-CN"/>
              </w:rPr>
              <w:t>市</w:t>
            </w:r>
            <w:r>
              <w:rPr>
                <w:spacing w:val="-1"/>
                <w:sz w:val="28"/>
                <w:szCs w:val="28"/>
              </w:rPr>
              <w:t>级政府应急处置能力的事故；</w:t>
            </w:r>
            <w:r>
              <w:rPr>
                <w:spacing w:val="-7"/>
                <w:sz w:val="28"/>
                <w:szCs w:val="28"/>
              </w:rPr>
              <w:t>4.省指挥部认为需要启动Ⅰ级响应的其</w:t>
            </w:r>
            <w:r>
              <w:rPr>
                <w:spacing w:val="-3"/>
                <w:sz w:val="28"/>
                <w:szCs w:val="28"/>
              </w:rPr>
              <w:t>他情形。</w:t>
            </w:r>
          </w:p>
        </w:tc>
      </w:tr>
    </w:tbl>
    <w:p w14:paraId="4084883D">
      <w:pPr>
        <w:pStyle w:val="7"/>
        <w:shd w:val="clear"/>
        <w:spacing w:before="234" w:line="222" w:lineRule="auto"/>
        <w:ind w:left="330"/>
        <w:rPr>
          <w:sz w:val="28"/>
          <w:szCs w:val="28"/>
        </w:rPr>
      </w:pPr>
      <w:r>
        <w:rPr>
          <w:spacing w:val="-8"/>
          <w:sz w:val="28"/>
          <w:szCs w:val="28"/>
        </w:rPr>
        <w:t>注：上表所称“以上”包括本数，“以下”不包括本数。</w:t>
      </w:r>
    </w:p>
    <w:p w14:paraId="71DD19FF">
      <w:pPr>
        <w:shd w:val="clear"/>
        <w:spacing w:line="222" w:lineRule="auto"/>
        <w:rPr>
          <w:sz w:val="28"/>
          <w:szCs w:val="28"/>
        </w:rPr>
        <w:sectPr>
          <w:footerReference r:id="rId7" w:type="default"/>
          <w:pgSz w:w="16839" w:h="11906"/>
          <w:pgMar w:top="1012" w:right="1792" w:bottom="1551" w:left="1622" w:header="0" w:footer="1273" w:gutter="0"/>
          <w:pgBorders>
            <w:top w:val="none" w:sz="0" w:space="0"/>
            <w:left w:val="none" w:sz="0" w:space="0"/>
            <w:bottom w:val="none" w:sz="0" w:space="0"/>
            <w:right w:val="none" w:sz="0" w:space="0"/>
          </w:pgBorders>
          <w:pgNumType w:fmt="numberInDash"/>
          <w:cols w:space="720" w:num="1"/>
        </w:sectPr>
      </w:pPr>
    </w:p>
    <w:p w14:paraId="5E11D1F1">
      <w:pPr>
        <w:shd w:val="clear"/>
        <w:spacing w:before="101" w:line="23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14:paraId="756FF2E1">
      <w:pPr>
        <w:shd w:val="clear"/>
        <w:spacing w:line="478" w:lineRule="auto"/>
        <w:rPr>
          <w:rFonts w:ascii="Arial"/>
          <w:sz w:val="21"/>
        </w:rPr>
      </w:pPr>
    </w:p>
    <w:p w14:paraId="3554745D">
      <w:pPr>
        <w:shd w:val="clear"/>
        <w:spacing w:before="140" w:line="225" w:lineRule="auto"/>
        <w:ind w:left="4609"/>
        <w:rPr>
          <w:rFonts w:ascii="黑体" w:hAnsi="黑体" w:eastAsia="黑体" w:cs="黑体"/>
          <w:sz w:val="43"/>
          <w:szCs w:val="43"/>
        </w:rPr>
      </w:pPr>
      <w:r>
        <w:rPr>
          <w:rFonts w:ascii="黑体" w:hAnsi="黑体" w:eastAsia="黑体" w:cs="黑体"/>
          <w:spacing w:val="27"/>
          <w:sz w:val="43"/>
          <w:szCs w:val="43"/>
        </w:rPr>
        <w:t>生产安全事故等级划分</w:t>
      </w:r>
    </w:p>
    <w:p w14:paraId="46755296">
      <w:pPr>
        <w:shd w:val="clear"/>
        <w:spacing w:before="102"/>
      </w:pPr>
    </w:p>
    <w:tbl>
      <w:tblPr>
        <w:tblStyle w:val="18"/>
        <w:tblW w:w="13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2"/>
        <w:gridCol w:w="3346"/>
        <w:gridCol w:w="3205"/>
        <w:gridCol w:w="3135"/>
      </w:tblGrid>
      <w:tr w14:paraId="55B36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3662" w:type="dxa"/>
            <w:vAlign w:val="top"/>
          </w:tcPr>
          <w:p w14:paraId="1DA4CEF6">
            <w:pPr>
              <w:shd w:val="clear"/>
              <w:spacing w:before="284" w:line="222" w:lineRule="auto"/>
              <w:ind w:left="1116"/>
              <w:rPr>
                <w:rFonts w:ascii="黑体" w:hAnsi="黑体" w:eastAsia="黑体" w:cs="黑体"/>
                <w:sz w:val="24"/>
                <w:szCs w:val="24"/>
              </w:rPr>
            </w:pPr>
            <w:r>
              <w:rPr>
                <w:rFonts w:ascii="黑体" w:hAnsi="黑体" w:eastAsia="黑体" w:cs="黑体"/>
                <w:spacing w:val="-2"/>
                <w:sz w:val="24"/>
                <w:szCs w:val="24"/>
              </w:rPr>
              <w:t>特别重大事故</w:t>
            </w:r>
          </w:p>
        </w:tc>
        <w:tc>
          <w:tcPr>
            <w:tcW w:w="3346" w:type="dxa"/>
            <w:vAlign w:val="top"/>
          </w:tcPr>
          <w:p w14:paraId="4164C6F9">
            <w:pPr>
              <w:shd w:val="clear"/>
              <w:spacing w:before="284" w:line="223" w:lineRule="auto"/>
              <w:ind w:left="1205"/>
              <w:rPr>
                <w:rFonts w:ascii="黑体" w:hAnsi="黑体" w:eastAsia="黑体" w:cs="黑体"/>
                <w:sz w:val="24"/>
                <w:szCs w:val="24"/>
              </w:rPr>
            </w:pPr>
            <w:r>
              <w:rPr>
                <w:rFonts w:ascii="黑体" w:hAnsi="黑体" w:eastAsia="黑体" w:cs="黑体"/>
                <w:spacing w:val="-4"/>
                <w:sz w:val="24"/>
                <w:szCs w:val="24"/>
              </w:rPr>
              <w:t>重大事故</w:t>
            </w:r>
          </w:p>
        </w:tc>
        <w:tc>
          <w:tcPr>
            <w:tcW w:w="3205" w:type="dxa"/>
            <w:vAlign w:val="top"/>
          </w:tcPr>
          <w:p w14:paraId="00DADFC6">
            <w:pPr>
              <w:shd w:val="clear"/>
              <w:spacing w:before="284" w:line="223" w:lineRule="auto"/>
              <w:ind w:left="1127"/>
              <w:rPr>
                <w:rFonts w:ascii="黑体" w:hAnsi="黑体" w:eastAsia="黑体" w:cs="黑体"/>
                <w:sz w:val="24"/>
                <w:szCs w:val="24"/>
              </w:rPr>
            </w:pPr>
            <w:r>
              <w:rPr>
                <w:rFonts w:ascii="黑体" w:hAnsi="黑体" w:eastAsia="黑体" w:cs="黑体"/>
                <w:spacing w:val="-2"/>
                <w:sz w:val="24"/>
                <w:szCs w:val="24"/>
              </w:rPr>
              <w:t>较大事故</w:t>
            </w:r>
          </w:p>
        </w:tc>
        <w:tc>
          <w:tcPr>
            <w:tcW w:w="3135" w:type="dxa"/>
            <w:vAlign w:val="top"/>
          </w:tcPr>
          <w:p w14:paraId="60AC989A">
            <w:pPr>
              <w:shd w:val="clear"/>
              <w:spacing w:before="284" w:line="221" w:lineRule="auto"/>
              <w:ind w:left="1098"/>
              <w:rPr>
                <w:rFonts w:ascii="黑体" w:hAnsi="黑体" w:eastAsia="黑体" w:cs="黑体"/>
                <w:sz w:val="24"/>
                <w:szCs w:val="24"/>
              </w:rPr>
            </w:pPr>
            <w:r>
              <w:rPr>
                <w:rFonts w:ascii="黑体" w:hAnsi="黑体" w:eastAsia="黑体" w:cs="黑体"/>
                <w:spacing w:val="-4"/>
                <w:sz w:val="24"/>
                <w:szCs w:val="24"/>
              </w:rPr>
              <w:t>一般事故</w:t>
            </w:r>
          </w:p>
        </w:tc>
      </w:tr>
      <w:tr w14:paraId="7F9D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8" w:hRule="atLeast"/>
        </w:trPr>
        <w:tc>
          <w:tcPr>
            <w:tcW w:w="3662" w:type="dxa"/>
            <w:vAlign w:val="top"/>
          </w:tcPr>
          <w:p w14:paraId="3FFEB307">
            <w:pPr>
              <w:shd w:val="clear"/>
              <w:spacing w:line="303" w:lineRule="auto"/>
              <w:rPr>
                <w:rFonts w:ascii="Arial"/>
                <w:sz w:val="21"/>
              </w:rPr>
            </w:pPr>
          </w:p>
          <w:p w14:paraId="311209A7">
            <w:pPr>
              <w:shd w:val="clear"/>
              <w:spacing w:line="303" w:lineRule="auto"/>
              <w:rPr>
                <w:rFonts w:ascii="Arial"/>
                <w:sz w:val="21"/>
              </w:rPr>
            </w:pPr>
          </w:p>
          <w:p w14:paraId="3A375D32">
            <w:pPr>
              <w:shd w:val="clear"/>
              <w:spacing w:line="303" w:lineRule="auto"/>
              <w:rPr>
                <w:rFonts w:ascii="Arial"/>
                <w:sz w:val="21"/>
              </w:rPr>
            </w:pPr>
          </w:p>
          <w:p w14:paraId="64E9B019">
            <w:pPr>
              <w:pStyle w:val="19"/>
              <w:shd w:val="clear"/>
              <w:spacing w:before="78" w:line="291" w:lineRule="auto"/>
              <w:ind w:left="129" w:right="187" w:hanging="4"/>
            </w:pPr>
            <w:r>
              <w:rPr>
                <w:spacing w:val="-4"/>
              </w:rPr>
              <w:t>造成30人以上死亡，或者100</w:t>
            </w:r>
            <w:r>
              <w:rPr>
                <w:spacing w:val="-6"/>
              </w:rPr>
              <w:t>人以上重伤(包括急性工业中</w:t>
            </w:r>
            <w:r>
              <w:rPr>
                <w:spacing w:val="-7"/>
              </w:rPr>
              <w:t>毒，下同)，或者1亿元以上</w:t>
            </w:r>
            <w:r>
              <w:rPr>
                <w:spacing w:val="-2"/>
              </w:rPr>
              <w:t>直接经济损失的事故。</w:t>
            </w:r>
          </w:p>
        </w:tc>
        <w:tc>
          <w:tcPr>
            <w:tcW w:w="3346" w:type="dxa"/>
            <w:vAlign w:val="top"/>
          </w:tcPr>
          <w:p w14:paraId="228FB6C9">
            <w:pPr>
              <w:shd w:val="clear"/>
              <w:spacing w:line="355" w:lineRule="auto"/>
              <w:rPr>
                <w:rFonts w:ascii="Arial"/>
                <w:sz w:val="21"/>
              </w:rPr>
            </w:pPr>
          </w:p>
          <w:p w14:paraId="2C44DFEA">
            <w:pPr>
              <w:shd w:val="clear"/>
              <w:spacing w:line="356" w:lineRule="auto"/>
              <w:rPr>
                <w:rFonts w:ascii="Arial"/>
                <w:sz w:val="21"/>
              </w:rPr>
            </w:pPr>
          </w:p>
          <w:p w14:paraId="04823D34">
            <w:pPr>
              <w:pStyle w:val="19"/>
              <w:shd w:val="clear"/>
              <w:spacing w:before="78" w:line="302" w:lineRule="auto"/>
              <w:ind w:left="127" w:right="110" w:hanging="2"/>
              <w:jc w:val="both"/>
            </w:pPr>
            <w:r>
              <w:rPr>
                <w:spacing w:val="-6"/>
              </w:rPr>
              <w:t>造成10人以上30人以下死亡</w:t>
            </w:r>
            <w:r>
              <w:rPr>
                <w:rFonts w:hint="eastAsia"/>
                <w:spacing w:val="-6"/>
                <w:lang w:eastAsia="zh-CN"/>
              </w:rPr>
              <w:t>，</w:t>
            </w:r>
            <w:r>
              <w:rPr>
                <w:spacing w:val="-6"/>
              </w:rPr>
              <w:t>或者50人以上100人</w:t>
            </w:r>
            <w:r>
              <w:rPr>
                <w:spacing w:val="-14"/>
              </w:rPr>
              <w:t>以下重伤，或者5000万元以</w:t>
            </w:r>
            <w:r>
              <w:rPr>
                <w:spacing w:val="-5"/>
              </w:rPr>
              <w:t>上1亿元以下直接经济损失的事故。</w:t>
            </w:r>
          </w:p>
        </w:tc>
        <w:tc>
          <w:tcPr>
            <w:tcW w:w="3205" w:type="dxa"/>
            <w:vAlign w:val="top"/>
          </w:tcPr>
          <w:p w14:paraId="683984A1">
            <w:pPr>
              <w:shd w:val="clear"/>
              <w:spacing w:line="354" w:lineRule="auto"/>
              <w:rPr>
                <w:rFonts w:ascii="Arial"/>
                <w:sz w:val="21"/>
              </w:rPr>
            </w:pPr>
          </w:p>
          <w:p w14:paraId="4FFB3692">
            <w:pPr>
              <w:shd w:val="clear"/>
              <w:spacing w:line="354" w:lineRule="auto"/>
              <w:rPr>
                <w:rFonts w:ascii="Arial"/>
                <w:sz w:val="21"/>
              </w:rPr>
            </w:pPr>
          </w:p>
          <w:p w14:paraId="0EAE7C23">
            <w:pPr>
              <w:pStyle w:val="19"/>
              <w:shd w:val="clear"/>
              <w:spacing w:before="78" w:line="302" w:lineRule="auto"/>
              <w:ind w:left="128" w:right="109" w:hanging="1"/>
            </w:pPr>
            <w:r>
              <w:rPr>
                <w:spacing w:val="-7"/>
              </w:rPr>
              <w:t>造成3人以上10人以下死亡，或者10人以上50</w:t>
            </w:r>
            <w:r>
              <w:rPr>
                <w:spacing w:val="-8"/>
              </w:rPr>
              <w:t>人以下重伤，或者1000万</w:t>
            </w:r>
            <w:r>
              <w:rPr>
                <w:spacing w:val="-6"/>
              </w:rPr>
              <w:t>元以上5000万元以下直</w:t>
            </w:r>
            <w:r>
              <w:rPr>
                <w:spacing w:val="-2"/>
              </w:rPr>
              <w:t>接经济损失的事故。</w:t>
            </w:r>
          </w:p>
        </w:tc>
        <w:tc>
          <w:tcPr>
            <w:tcW w:w="3135" w:type="dxa"/>
            <w:vAlign w:val="top"/>
          </w:tcPr>
          <w:p w14:paraId="6DA78CDD">
            <w:pPr>
              <w:shd w:val="clear"/>
              <w:spacing w:line="303" w:lineRule="auto"/>
              <w:rPr>
                <w:rFonts w:ascii="Arial"/>
                <w:sz w:val="21"/>
              </w:rPr>
            </w:pPr>
          </w:p>
          <w:p w14:paraId="4A9623D4">
            <w:pPr>
              <w:shd w:val="clear"/>
              <w:spacing w:line="304" w:lineRule="auto"/>
              <w:rPr>
                <w:rFonts w:ascii="Arial"/>
                <w:sz w:val="21"/>
              </w:rPr>
            </w:pPr>
          </w:p>
          <w:p w14:paraId="5693DD44">
            <w:pPr>
              <w:shd w:val="clear"/>
              <w:spacing w:line="304" w:lineRule="auto"/>
              <w:rPr>
                <w:rFonts w:ascii="Arial"/>
                <w:sz w:val="21"/>
              </w:rPr>
            </w:pPr>
          </w:p>
          <w:p w14:paraId="7355DB24">
            <w:pPr>
              <w:pStyle w:val="19"/>
              <w:shd w:val="clear"/>
              <w:spacing w:before="78" w:line="297" w:lineRule="auto"/>
              <w:ind w:left="128" w:right="138" w:hanging="2"/>
            </w:pPr>
            <w:r>
              <w:rPr>
                <w:spacing w:val="-3"/>
              </w:rPr>
              <w:t>造成3人以下死亡，或者10人以下重伤，或者100</w:t>
            </w:r>
            <w:r>
              <w:rPr>
                <w:spacing w:val="-2"/>
              </w:rPr>
              <w:t>万元以下直接经济损失的</w:t>
            </w:r>
            <w:r>
              <w:rPr>
                <w:spacing w:val="-6"/>
              </w:rPr>
              <w:t>事故。</w:t>
            </w:r>
          </w:p>
        </w:tc>
      </w:tr>
    </w:tbl>
    <w:p w14:paraId="29EA4C19">
      <w:pPr>
        <w:shd w:val="clear"/>
        <w:spacing w:line="250" w:lineRule="auto"/>
        <w:rPr>
          <w:rFonts w:ascii="Arial"/>
          <w:sz w:val="21"/>
        </w:rPr>
      </w:pPr>
    </w:p>
    <w:p w14:paraId="2F0B798F">
      <w:pPr>
        <w:pStyle w:val="7"/>
        <w:shd w:val="clear"/>
        <w:spacing w:before="78" w:line="221" w:lineRule="auto"/>
        <w:ind w:left="135"/>
        <w:rPr>
          <w:rFonts w:hint="eastAsia"/>
          <w:spacing w:val="-7"/>
          <w:sz w:val="24"/>
          <w:szCs w:val="24"/>
          <w:lang w:eastAsia="zh-CN"/>
        </w:rPr>
        <w:sectPr>
          <w:footerReference r:id="rId8" w:type="default"/>
          <w:pgSz w:w="16838" w:h="11906" w:orient="landscape"/>
          <w:pgMar w:top="1015" w:right="1480" w:bottom="1553" w:left="1814"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pacing w:val="-7"/>
          <w:sz w:val="24"/>
          <w:szCs w:val="24"/>
        </w:rPr>
        <w:t>注：上表所称“以上”包括本数，“以下”不包括本</w:t>
      </w:r>
      <w:r>
        <w:rPr>
          <w:rFonts w:hint="eastAsia"/>
          <w:spacing w:val="-7"/>
          <w:sz w:val="24"/>
          <w:szCs w:val="24"/>
          <w:lang w:eastAsia="zh-CN"/>
        </w:rPr>
        <w:t>数</w:t>
      </w:r>
    </w:p>
    <w:p w14:paraId="40A418FC">
      <w:pPr>
        <w:rPr>
          <w:rFonts w:hint="eastAsia"/>
          <w:spacing w:val="-7"/>
          <w:sz w:val="24"/>
          <w:szCs w:val="24"/>
          <w:lang w:val="en-US" w:eastAsia="zh-CN"/>
        </w:rPr>
      </w:pPr>
      <w:r>
        <w:rPr>
          <w:rFonts w:hint="eastAsia"/>
          <w:spacing w:val="-7"/>
          <w:sz w:val="24"/>
          <w:szCs w:val="24"/>
          <w:lang w:val="en-US" w:eastAsia="zh-CN"/>
        </w:rPr>
        <w:br w:type="page"/>
      </w:r>
    </w:p>
    <w:p w14:paraId="13AD6BC9">
      <w:pPr>
        <w:shd w:val="clear"/>
        <w:spacing w:before="101" w:line="23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2E64D874">
      <w:pPr>
        <w:shd w:val="clear"/>
        <w:spacing w:line="478" w:lineRule="auto"/>
        <w:rPr>
          <w:rFonts w:ascii="Arial"/>
          <w:sz w:val="21"/>
        </w:rPr>
      </w:pPr>
    </w:p>
    <w:p w14:paraId="37AA353F">
      <w:pPr>
        <w:keepNext w:val="0"/>
        <w:keepLines w:val="0"/>
        <w:pageBreakBefore w:val="0"/>
        <w:widowControl w:val="0"/>
        <w:shd w:val="clear"/>
        <w:kinsoku/>
        <w:wordWrap/>
        <w:overflowPunct/>
        <w:topLinePunct w:val="0"/>
        <w:autoSpaceDE/>
        <w:autoSpaceDN/>
        <w:bidi w:val="0"/>
        <w:adjustRightInd/>
        <w:snapToGrid/>
        <w:spacing w:line="226" w:lineRule="auto"/>
        <w:ind w:left="0"/>
        <w:jc w:val="center"/>
        <w:textAlignment w:val="auto"/>
        <w:rPr>
          <w:rFonts w:hint="eastAsia" w:ascii="方正仿宋_GB2312" w:hAnsi="方正仿宋_GB2312" w:eastAsia="方正仿宋_GB2312" w:cs="方正仿宋_GB2312"/>
          <w:b/>
          <w:bCs/>
          <w:spacing w:val="27"/>
          <w:sz w:val="43"/>
          <w:szCs w:val="43"/>
          <w:lang w:val="en-US" w:eastAsia="zh-CN"/>
        </w:rPr>
      </w:pPr>
      <w:r>
        <w:rPr>
          <w:rFonts w:hint="eastAsia" w:ascii="方正仿宋_GB2312" w:hAnsi="方正仿宋_GB2312" w:eastAsia="方正仿宋_GB2312" w:cs="方正仿宋_GB2312"/>
          <w:b/>
          <w:bCs/>
          <w:spacing w:val="27"/>
          <w:sz w:val="43"/>
          <w:szCs w:val="43"/>
          <w:lang w:val="en-US" w:eastAsia="zh-CN"/>
        </w:rPr>
        <w:t>浑源县冶金工贸行业生产安全事故类型</w:t>
      </w:r>
    </w:p>
    <w:tbl>
      <w:tblPr>
        <w:tblStyle w:val="13"/>
        <w:tblW w:w="41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609"/>
        <w:gridCol w:w="14"/>
        <w:gridCol w:w="2623"/>
        <w:gridCol w:w="2893"/>
        <w:gridCol w:w="2414"/>
      </w:tblGrid>
      <w:tr w14:paraId="5C14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Merge w:val="restart"/>
            <w:vAlign w:val="center"/>
          </w:tcPr>
          <w:p w14:paraId="5C6E509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序号</w:t>
            </w:r>
          </w:p>
        </w:tc>
        <w:tc>
          <w:tcPr>
            <w:tcW w:w="3590" w:type="pct"/>
            <w:gridSpan w:val="4"/>
            <w:vAlign w:val="center"/>
          </w:tcPr>
          <w:p w14:paraId="736176CD">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事故</w:t>
            </w:r>
          </w:p>
        </w:tc>
        <w:tc>
          <w:tcPr>
            <w:tcW w:w="1065" w:type="pct"/>
            <w:vMerge w:val="restart"/>
            <w:vAlign w:val="center"/>
          </w:tcPr>
          <w:p w14:paraId="4DF23047">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预防措施</w:t>
            </w:r>
          </w:p>
        </w:tc>
      </w:tr>
      <w:tr w14:paraId="487E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Merge w:val="continue"/>
            <w:vAlign w:val="center"/>
          </w:tcPr>
          <w:p w14:paraId="7B2CF4AC">
            <w:pPr>
              <w:pStyle w:val="19"/>
              <w:bidi w:val="0"/>
              <w:jc w:val="center"/>
              <w:rPr>
                <w:rFonts w:hint="eastAsia" w:ascii="方正仿宋_GB2312" w:hAnsi="方正仿宋_GB2312" w:eastAsia="方正仿宋_GB2312" w:cs="方正仿宋_GB2312"/>
                <w:lang w:val="en-US" w:eastAsia="zh-CN"/>
              </w:rPr>
            </w:pPr>
          </w:p>
        </w:tc>
        <w:tc>
          <w:tcPr>
            <w:tcW w:w="2314" w:type="pct"/>
            <w:gridSpan w:val="3"/>
            <w:vAlign w:val="center"/>
          </w:tcPr>
          <w:p w14:paraId="3FF46773">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类型</w:t>
            </w:r>
          </w:p>
        </w:tc>
        <w:tc>
          <w:tcPr>
            <w:tcW w:w="1276" w:type="pct"/>
            <w:vAlign w:val="center"/>
          </w:tcPr>
          <w:p w14:paraId="0E808D51">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描述</w:t>
            </w:r>
          </w:p>
        </w:tc>
        <w:tc>
          <w:tcPr>
            <w:tcW w:w="1065" w:type="pct"/>
            <w:vMerge w:val="continue"/>
            <w:vAlign w:val="center"/>
          </w:tcPr>
          <w:p w14:paraId="09E75F61">
            <w:pPr>
              <w:pStyle w:val="19"/>
              <w:bidi w:val="0"/>
              <w:jc w:val="left"/>
              <w:rPr>
                <w:rFonts w:hint="eastAsia" w:ascii="方正仿宋_GB2312" w:hAnsi="方正仿宋_GB2312" w:eastAsia="方正仿宋_GB2312" w:cs="方正仿宋_GB2312"/>
                <w:lang w:val="en-US" w:eastAsia="zh-CN"/>
              </w:rPr>
            </w:pPr>
          </w:p>
        </w:tc>
      </w:tr>
      <w:tr w14:paraId="1209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Merge w:val="restart"/>
            <w:vAlign w:val="center"/>
          </w:tcPr>
          <w:p w14:paraId="637FAD13">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01</w:t>
            </w:r>
          </w:p>
        </w:tc>
        <w:tc>
          <w:tcPr>
            <w:tcW w:w="1151" w:type="pct"/>
            <w:vMerge w:val="restart"/>
            <w:vAlign w:val="center"/>
          </w:tcPr>
          <w:p w14:paraId="3B70A736">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火灾与爆炸事故</w:t>
            </w:r>
          </w:p>
        </w:tc>
        <w:tc>
          <w:tcPr>
            <w:tcW w:w="1163" w:type="pct"/>
            <w:gridSpan w:val="2"/>
            <w:vAlign w:val="center"/>
          </w:tcPr>
          <w:p w14:paraId="71B2ADAA">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可燃物质爆炸</w:t>
            </w:r>
          </w:p>
        </w:tc>
        <w:tc>
          <w:tcPr>
            <w:tcW w:w="1276" w:type="pct"/>
            <w:vAlign w:val="center"/>
          </w:tcPr>
          <w:p w14:paraId="3451D5B8">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如煤气（高炉煤气、转炉煤气）、天然气、铝粉、镁粉等易燃易爆物质泄漏后遇火源。</w:t>
            </w:r>
          </w:p>
        </w:tc>
        <w:tc>
          <w:tcPr>
            <w:tcW w:w="1065" w:type="pct"/>
            <w:vAlign w:val="center"/>
          </w:tcPr>
          <w:p w14:paraId="4974F396">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严格管控易燃易爆物质、消除点火源、加强通风除尘、设置泄爆抑爆装置、规范动火作业管理。</w:t>
            </w:r>
          </w:p>
        </w:tc>
      </w:tr>
      <w:tr w14:paraId="192A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vMerge w:val="continue"/>
            <w:vAlign w:val="center"/>
          </w:tcPr>
          <w:p w14:paraId="7284F095">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78306FCB">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7A224E9A">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粉尘爆炸</w:t>
            </w:r>
          </w:p>
        </w:tc>
        <w:tc>
          <w:tcPr>
            <w:tcW w:w="1276" w:type="pct"/>
            <w:vAlign w:val="center"/>
          </w:tcPr>
          <w:p w14:paraId="1CB9314C">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冶金过程中产生的金属粉尘（如铝、镁、锌粉）或煤粉在密闭空间达到爆炸浓度。</w:t>
            </w:r>
          </w:p>
        </w:tc>
        <w:tc>
          <w:tcPr>
            <w:tcW w:w="1065" w:type="pct"/>
            <w:vAlign w:val="center"/>
          </w:tcPr>
          <w:p w14:paraId="57069E53">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严格管控粉尘浓度、消除点火源、规范除尘系统设计、设置泄爆抑爆装置、定期清理积尘及强化防爆安全培训，确保落实"粉尘五距"管理要求。</w:t>
            </w:r>
          </w:p>
        </w:tc>
      </w:tr>
      <w:tr w14:paraId="2CC4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49E04E06">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05C99055">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20C00FA9">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高温熔融金属遇水爆炸</w:t>
            </w:r>
          </w:p>
        </w:tc>
        <w:tc>
          <w:tcPr>
            <w:tcW w:w="1276" w:type="pct"/>
            <w:vAlign w:val="center"/>
          </w:tcPr>
          <w:p w14:paraId="4EAC8872">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熔融钢水、铁水接触潮湿地面或含水物质引发蒸汽爆炸。</w:t>
            </w:r>
          </w:p>
        </w:tc>
        <w:tc>
          <w:tcPr>
            <w:tcW w:w="1065" w:type="pct"/>
            <w:vAlign w:val="center"/>
          </w:tcPr>
          <w:p w14:paraId="323E35F5">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严格管控熔融金属作业区域防水防潮措施、确保设备与容器干燥完好、规范冷却水系统管理、设置应急堵漏装置，严禁"带水作业"。</w:t>
            </w:r>
          </w:p>
        </w:tc>
      </w:tr>
      <w:tr w14:paraId="7413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322EBDFA">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2B30974F">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6C6F8AA1">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化学爆炸</w:t>
            </w:r>
          </w:p>
        </w:tc>
        <w:tc>
          <w:tcPr>
            <w:tcW w:w="1276" w:type="pct"/>
            <w:vAlign w:val="center"/>
          </w:tcPr>
          <w:p w14:paraId="259066CA">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氧气与油脂接触、电解铝厂电解质泄漏等。</w:t>
            </w:r>
          </w:p>
        </w:tc>
        <w:tc>
          <w:tcPr>
            <w:tcW w:w="1065" w:type="pct"/>
            <w:vAlign w:val="center"/>
          </w:tcPr>
          <w:p w14:paraId="535AA92F">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严格管控危险化学品储存与使用、消除点火源（明火/静电/高温）、加强通风与浓度监测、设置泄压防爆设施。</w:t>
            </w:r>
          </w:p>
        </w:tc>
      </w:tr>
      <w:tr w14:paraId="6EC9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restart"/>
            <w:vAlign w:val="center"/>
          </w:tcPr>
          <w:p w14:paraId="4B05B1A9">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02</w:t>
            </w:r>
          </w:p>
        </w:tc>
        <w:tc>
          <w:tcPr>
            <w:tcW w:w="1151" w:type="pct"/>
            <w:vMerge w:val="restart"/>
            <w:vAlign w:val="center"/>
          </w:tcPr>
          <w:p w14:paraId="38DADC73">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中毒与窒息事故</w:t>
            </w:r>
          </w:p>
        </w:tc>
        <w:tc>
          <w:tcPr>
            <w:tcW w:w="1163" w:type="pct"/>
            <w:gridSpan w:val="2"/>
            <w:vAlign w:val="center"/>
          </w:tcPr>
          <w:p w14:paraId="606ADAFE">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有毒气体泄漏</w:t>
            </w:r>
          </w:p>
        </w:tc>
        <w:tc>
          <w:tcPr>
            <w:tcW w:w="1276" w:type="pct"/>
            <w:vAlign w:val="center"/>
          </w:tcPr>
          <w:p w14:paraId="4E503E72">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一氧化碳（CO）、硫化氢（H</w:t>
            </w:r>
            <w:r>
              <w:rPr>
                <w:rFonts w:hint="eastAsia" w:ascii="方正仿宋_GB2312" w:hAnsi="方正仿宋_GB2312" w:eastAsia="方正仿宋_GB2312" w:cs="方正仿宋_GB2312"/>
                <w:vertAlign w:val="subscript"/>
                <w:lang w:val="en-US" w:eastAsia="zh-CN"/>
              </w:rPr>
              <w:t>2</w:t>
            </w:r>
            <w:r>
              <w:rPr>
                <w:rFonts w:hint="eastAsia" w:ascii="方正仿宋_GB2312" w:hAnsi="方正仿宋_GB2312" w:eastAsia="方正仿宋_GB2312" w:cs="方正仿宋_GB2312"/>
                <w:lang w:val="en-US" w:eastAsia="zh-CN"/>
              </w:rPr>
              <w:t>S）、二氧化硫（SO</w:t>
            </w:r>
            <w:r>
              <w:rPr>
                <w:rFonts w:hint="eastAsia" w:ascii="方正仿宋_GB2312" w:hAnsi="方正仿宋_GB2312" w:eastAsia="方正仿宋_GB2312" w:cs="方正仿宋_GB2312"/>
                <w:vertAlign w:val="subscript"/>
                <w:lang w:val="en-US" w:eastAsia="zh-CN"/>
              </w:rPr>
              <w:t>2</w:t>
            </w:r>
            <w:r>
              <w:rPr>
                <w:rFonts w:hint="eastAsia" w:ascii="方正仿宋_GB2312" w:hAnsi="方正仿宋_GB2312" w:eastAsia="方正仿宋_GB2312" w:cs="方正仿宋_GB2312"/>
                <w:lang w:val="en-US" w:eastAsia="zh-CN"/>
              </w:rPr>
              <w:t>）、氰化氢（HCN）等。</w:t>
            </w:r>
          </w:p>
        </w:tc>
        <w:tc>
          <w:tcPr>
            <w:tcW w:w="1065" w:type="pct"/>
            <w:vAlign w:val="center"/>
          </w:tcPr>
          <w:p w14:paraId="4D80CCD0">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严格管控有毒化学品储存与使用、安装气体泄漏检测报警装置、配备应急通风与吸收系统、规范个人防护装备佩戴。</w:t>
            </w:r>
          </w:p>
        </w:tc>
      </w:tr>
      <w:tr w14:paraId="7510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575525C6">
            <w:pPr>
              <w:pStyle w:val="19"/>
              <w:bidi w:val="0"/>
              <w:jc w:val="center"/>
              <w:rPr>
                <w:rFonts w:hint="eastAsia" w:ascii="方正仿宋_GB2312" w:hAnsi="方正仿宋_GB2312" w:eastAsia="方正仿宋_GB2312" w:cs="方正仿宋_GB2312"/>
                <w:lang w:val="en-US" w:eastAsia="zh-CN"/>
              </w:rPr>
            </w:pPr>
          </w:p>
        </w:tc>
        <w:tc>
          <w:tcPr>
            <w:tcW w:w="1151" w:type="pct"/>
            <w:vMerge w:val="continue"/>
            <w:vAlign w:val="center"/>
          </w:tcPr>
          <w:p w14:paraId="74B31EB9">
            <w:pPr>
              <w:pStyle w:val="19"/>
              <w:bidi w:val="0"/>
              <w:jc w:val="center"/>
              <w:rPr>
                <w:rFonts w:hint="eastAsia" w:ascii="方正仿宋_GB2312" w:hAnsi="方正仿宋_GB2312" w:eastAsia="方正仿宋_GB2312" w:cs="方正仿宋_GB2312"/>
                <w:lang w:val="en-US" w:eastAsia="zh-CN"/>
              </w:rPr>
            </w:pPr>
          </w:p>
        </w:tc>
        <w:tc>
          <w:tcPr>
            <w:tcW w:w="1163" w:type="pct"/>
            <w:gridSpan w:val="2"/>
            <w:vAlign w:val="center"/>
          </w:tcPr>
          <w:p w14:paraId="4DAD0BCB">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有限空间作业窒息</w:t>
            </w:r>
          </w:p>
        </w:tc>
        <w:tc>
          <w:tcPr>
            <w:tcW w:w="1276" w:type="pct"/>
            <w:vAlign w:val="center"/>
          </w:tcPr>
          <w:p w14:paraId="6A42A4AF">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密闭容器、管道、储罐内缺氧或积聚有害气体（如氮气置换不当）。</w:t>
            </w:r>
          </w:p>
        </w:tc>
        <w:tc>
          <w:tcPr>
            <w:tcW w:w="1065" w:type="pct"/>
            <w:vAlign w:val="center"/>
          </w:tcPr>
          <w:p w14:paraId="0989E167">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严格执行"先通风、再检测、后作业"原则，配备气体检测仪与强制通风设备，落实专人监护与安全防护措施，规范作业审批流程。</w:t>
            </w:r>
          </w:p>
        </w:tc>
      </w:tr>
      <w:tr w14:paraId="066E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6A0F64F7">
            <w:pPr>
              <w:pStyle w:val="19"/>
              <w:bidi w:val="0"/>
              <w:jc w:val="center"/>
              <w:rPr>
                <w:rFonts w:hint="eastAsia" w:ascii="方正仿宋_GB2312" w:hAnsi="方正仿宋_GB2312" w:eastAsia="方正仿宋_GB2312" w:cs="方正仿宋_GB2312"/>
                <w:lang w:val="en-US" w:eastAsia="zh-CN"/>
              </w:rPr>
            </w:pPr>
          </w:p>
        </w:tc>
        <w:tc>
          <w:tcPr>
            <w:tcW w:w="1151" w:type="pct"/>
            <w:vMerge w:val="continue"/>
            <w:vAlign w:val="center"/>
          </w:tcPr>
          <w:p w14:paraId="2D10B7F2">
            <w:pPr>
              <w:pStyle w:val="19"/>
              <w:bidi w:val="0"/>
              <w:jc w:val="center"/>
              <w:rPr>
                <w:rFonts w:hint="eastAsia" w:ascii="方正仿宋_GB2312" w:hAnsi="方正仿宋_GB2312" w:eastAsia="方正仿宋_GB2312" w:cs="方正仿宋_GB2312"/>
                <w:lang w:val="en-US" w:eastAsia="zh-CN"/>
              </w:rPr>
            </w:pPr>
          </w:p>
        </w:tc>
        <w:tc>
          <w:tcPr>
            <w:tcW w:w="1163" w:type="pct"/>
            <w:gridSpan w:val="2"/>
            <w:vAlign w:val="center"/>
          </w:tcPr>
          <w:p w14:paraId="00A0FDDA">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化学品接触中毒</w:t>
            </w:r>
          </w:p>
        </w:tc>
        <w:tc>
          <w:tcPr>
            <w:tcW w:w="1276" w:type="pct"/>
            <w:vAlign w:val="center"/>
          </w:tcPr>
          <w:p w14:paraId="017CC3E7">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酸、碱、重金属（铅、镉、汞）或电解液泄漏。</w:t>
            </w:r>
          </w:p>
        </w:tc>
        <w:tc>
          <w:tcPr>
            <w:tcW w:w="1065" w:type="pct"/>
            <w:vAlign w:val="center"/>
          </w:tcPr>
          <w:p w14:paraId="68D168A1">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严格实施"源头替代-工程控制-个体防护"三级防控体系，配备有毒气体检测报警装置，规范使用PPE防护装备，设置应急冲洗设施，强化MSDS培训及职业健康监护。</w:t>
            </w:r>
          </w:p>
        </w:tc>
      </w:tr>
      <w:tr w14:paraId="6FC9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restart"/>
            <w:vAlign w:val="center"/>
          </w:tcPr>
          <w:p w14:paraId="506AFA48">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03</w:t>
            </w:r>
          </w:p>
        </w:tc>
        <w:tc>
          <w:tcPr>
            <w:tcW w:w="1151" w:type="pct"/>
            <w:vMerge w:val="restart"/>
            <w:vAlign w:val="center"/>
          </w:tcPr>
          <w:p w14:paraId="53927764">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机械伤害与物体打击</w:t>
            </w:r>
          </w:p>
        </w:tc>
        <w:tc>
          <w:tcPr>
            <w:tcW w:w="1163" w:type="pct"/>
            <w:gridSpan w:val="2"/>
            <w:vAlign w:val="center"/>
          </w:tcPr>
          <w:p w14:paraId="263D0070">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设备运转部件伤害</w:t>
            </w:r>
          </w:p>
        </w:tc>
        <w:tc>
          <w:tcPr>
            <w:tcW w:w="1276" w:type="pct"/>
            <w:vAlign w:val="center"/>
          </w:tcPr>
          <w:p w14:paraId="3F612110">
            <w:pPr>
              <w:pStyle w:val="19"/>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轧机、传送带、破碎机等机械的挤压、切割、卷入。</w:t>
            </w:r>
          </w:p>
        </w:tc>
        <w:tc>
          <w:tcPr>
            <w:tcW w:w="1065" w:type="pct"/>
            <w:vAlign w:val="center"/>
          </w:tcPr>
          <w:p w14:paraId="79969C54">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严格执行"四必有"（有轮必有罩、有轴必有套、有台必有栏、有洞必有盖），落实设备联锁防护装置，规范操作与检修流程，强化安全警示标识。</w:t>
            </w:r>
          </w:p>
        </w:tc>
      </w:tr>
      <w:tr w14:paraId="1231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23220931">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5F6A8D32">
            <w:pPr>
              <w:pStyle w:val="19"/>
              <w:bidi w:val="0"/>
              <w:jc w:val="center"/>
              <w:rPr>
                <w:rFonts w:hint="eastAsia" w:ascii="方正仿宋_GB2312" w:hAnsi="方正仿宋_GB2312" w:eastAsia="方正仿宋_GB2312" w:cs="方正仿宋_GB2312"/>
                <w:lang w:val="en-US" w:eastAsia="zh-CN"/>
              </w:rPr>
            </w:pPr>
          </w:p>
        </w:tc>
        <w:tc>
          <w:tcPr>
            <w:tcW w:w="1163" w:type="pct"/>
            <w:gridSpan w:val="2"/>
            <w:vAlign w:val="center"/>
          </w:tcPr>
          <w:p w14:paraId="6B8A6C13">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起重伤害</w:t>
            </w:r>
          </w:p>
        </w:tc>
        <w:tc>
          <w:tcPr>
            <w:tcW w:w="1276" w:type="pct"/>
            <w:vAlign w:val="center"/>
          </w:tcPr>
          <w:p w14:paraId="5BAA52E6">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吊运熔融金属或重物时钢丝绳断裂、吊具失效、天车失控。</w:t>
            </w:r>
          </w:p>
        </w:tc>
        <w:tc>
          <w:tcPr>
            <w:tcW w:w="1065" w:type="pct"/>
            <w:vAlign w:val="center"/>
          </w:tcPr>
          <w:p w14:paraId="6EF8D7A0">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严格执行"十不吊"原则，规范吊具检查与维护，设置安全限位装置，落实指挥信号标准化，强化作业区域隔离及人员持证上岗培训，确保起重设备安全附件齐全有效。</w:t>
            </w:r>
          </w:p>
        </w:tc>
      </w:tr>
      <w:tr w14:paraId="4AB8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76E3397F">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2ED42B7A">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12406B1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物体飞出或坠落</w:t>
            </w:r>
          </w:p>
        </w:tc>
        <w:tc>
          <w:tcPr>
            <w:tcW w:w="1276" w:type="pct"/>
            <w:vAlign w:val="center"/>
          </w:tcPr>
          <w:p w14:paraId="3AA0A900">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高温炉渣喷溅、设备检修时工具或部件掉落。</w:t>
            </w:r>
          </w:p>
        </w:tc>
        <w:tc>
          <w:tcPr>
            <w:tcW w:w="1065" w:type="pct"/>
            <w:vAlign w:val="center"/>
          </w:tcPr>
          <w:p w14:paraId="5187D717">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严格执行"三定"管理（定置、定位、定责），落实设备防护罩、安全网等防飞溅装置，规范物料堆垛与吊运作业，设置危险区域隔离警示，强化个人防护装备佩戴及日常安全检查制度。</w:t>
            </w:r>
          </w:p>
        </w:tc>
      </w:tr>
      <w:tr w14:paraId="00C8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restart"/>
            <w:vAlign w:val="center"/>
          </w:tcPr>
          <w:p w14:paraId="1D2C2FCB">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04</w:t>
            </w:r>
          </w:p>
        </w:tc>
        <w:tc>
          <w:tcPr>
            <w:tcW w:w="1151" w:type="pct"/>
            <w:vMerge w:val="restart"/>
            <w:vAlign w:val="center"/>
          </w:tcPr>
          <w:p w14:paraId="2F3A2AA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灼烫事故</w:t>
            </w:r>
          </w:p>
        </w:tc>
        <w:tc>
          <w:tcPr>
            <w:tcW w:w="1163" w:type="pct"/>
            <w:gridSpan w:val="2"/>
            <w:vAlign w:val="center"/>
          </w:tcPr>
          <w:p w14:paraId="5B893ACE">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高温熔融金属灼烫</w:t>
            </w:r>
          </w:p>
        </w:tc>
        <w:tc>
          <w:tcPr>
            <w:tcW w:w="1276" w:type="pct"/>
            <w:vAlign w:val="center"/>
          </w:tcPr>
          <w:p w14:paraId="55F35FD4">
            <w:pPr>
              <w:pStyle w:val="19"/>
              <w:bidi w:val="0"/>
              <w:jc w:val="left"/>
              <w:rPr>
                <w:rFonts w:hint="default" w:ascii="方正仿宋_GB2312" w:hAnsi="方正仿宋_GB2312" w:eastAsia="方正仿宋_GB2312" w:cs="方正仿宋_GB2312"/>
                <w:lang w:val="en-US" w:eastAsia="zh-CN"/>
              </w:rPr>
            </w:pPr>
            <w:r>
              <w:rPr>
                <w:rFonts w:hint="default" w:ascii="方正仿宋_GB2312" w:hAnsi="方正仿宋_GB2312" w:eastAsia="方正仿宋_GB2312" w:cs="方正仿宋_GB2312"/>
                <w:lang w:val="en-US" w:eastAsia="zh-CN"/>
              </w:rPr>
              <w:t>钢水、铁水、铝液泄漏或喷溅（如炉体穿炉、浇包倾覆）。</w:t>
            </w:r>
          </w:p>
        </w:tc>
        <w:tc>
          <w:tcPr>
            <w:tcW w:w="1065" w:type="pct"/>
            <w:vAlign w:val="center"/>
          </w:tcPr>
          <w:p w14:paraId="6C37415F">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严格实施"熔融金属作业十不准"，规范穿戴阻燃防护装备，设置防喷溅隔离设施，确保设备与包具干燥完好，落实安全距离管理及应急喷淋系统。</w:t>
            </w:r>
          </w:p>
        </w:tc>
      </w:tr>
      <w:tr w14:paraId="2E9D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233D7CA8">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5E38D18B">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19C9BF4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高温蒸汽或热辐射</w:t>
            </w:r>
          </w:p>
        </w:tc>
        <w:tc>
          <w:tcPr>
            <w:tcW w:w="1276" w:type="pct"/>
            <w:vAlign w:val="center"/>
          </w:tcPr>
          <w:p w14:paraId="7CB7319D">
            <w:pPr>
              <w:pStyle w:val="19"/>
              <w:bidi w:val="0"/>
              <w:jc w:val="left"/>
              <w:rPr>
                <w:rFonts w:hint="default" w:ascii="方正仿宋_GB2312" w:hAnsi="方正仿宋_GB2312" w:eastAsia="方正仿宋_GB2312" w:cs="方正仿宋_GB2312"/>
                <w:lang w:val="en-US" w:eastAsia="zh-CN"/>
              </w:rPr>
            </w:pPr>
            <w:r>
              <w:rPr>
                <w:rFonts w:hint="default" w:ascii="方正仿宋_GB2312" w:hAnsi="方正仿宋_GB2312" w:eastAsia="方正仿宋_GB2312" w:cs="方正仿宋_GB2312"/>
                <w:lang w:val="en-US" w:eastAsia="zh-CN"/>
              </w:rPr>
              <w:t>锅炉、热力管道泄漏或近距离操作。</w:t>
            </w:r>
          </w:p>
        </w:tc>
        <w:tc>
          <w:tcPr>
            <w:tcW w:w="1065" w:type="pct"/>
            <w:vAlign w:val="center"/>
          </w:tcPr>
          <w:p w14:paraId="5995D9A1">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严格管控高温设备及管道保温防护，设置隔热屏障与警示标识，规范穿戴防烫伤装备，加强作业区域通风降温，落实安全巡检及应急处置措施。</w:t>
            </w:r>
          </w:p>
        </w:tc>
      </w:tr>
      <w:tr w14:paraId="0538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1318EB72">
            <w:pPr>
              <w:pStyle w:val="19"/>
              <w:bidi w:val="0"/>
              <w:jc w:val="center"/>
              <w:rPr>
                <w:rFonts w:hint="default" w:ascii="方正仿宋_GB2312" w:hAnsi="方正仿宋_GB2312" w:eastAsia="方正仿宋_GB2312" w:cs="方正仿宋_GB2312"/>
                <w:lang w:val="en-US" w:eastAsia="zh-CN"/>
              </w:rPr>
            </w:pPr>
          </w:p>
        </w:tc>
        <w:tc>
          <w:tcPr>
            <w:tcW w:w="1151" w:type="pct"/>
            <w:vMerge w:val="continue"/>
            <w:vAlign w:val="center"/>
          </w:tcPr>
          <w:p w14:paraId="749ABAC8">
            <w:pPr>
              <w:pStyle w:val="19"/>
              <w:bidi w:val="0"/>
              <w:jc w:val="center"/>
              <w:rPr>
                <w:rFonts w:hint="default" w:ascii="方正仿宋_GB2312" w:hAnsi="方正仿宋_GB2312" w:eastAsia="方正仿宋_GB2312" w:cs="方正仿宋_GB2312"/>
                <w:lang w:val="en-US" w:eastAsia="zh-CN"/>
              </w:rPr>
            </w:pPr>
          </w:p>
        </w:tc>
        <w:tc>
          <w:tcPr>
            <w:tcW w:w="1163" w:type="pct"/>
            <w:gridSpan w:val="2"/>
            <w:vAlign w:val="center"/>
          </w:tcPr>
          <w:p w14:paraId="29C84853">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化学灼伤</w:t>
            </w:r>
          </w:p>
        </w:tc>
        <w:tc>
          <w:tcPr>
            <w:tcW w:w="1276" w:type="pct"/>
            <w:vAlign w:val="center"/>
          </w:tcPr>
          <w:p w14:paraId="0ABF4847">
            <w:pPr>
              <w:pStyle w:val="19"/>
              <w:bidi w:val="0"/>
              <w:jc w:val="left"/>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强酸（硫酸、盐酸）、强碱（氢氧化钠）泄漏接触皮肤。</w:t>
            </w:r>
          </w:p>
        </w:tc>
        <w:tc>
          <w:tcPr>
            <w:tcW w:w="1065" w:type="pct"/>
            <w:vAlign w:val="center"/>
          </w:tcPr>
          <w:p w14:paraId="1D848606">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严格执行"一书一签"制度，落实酸碱等腐蚀品分区储存与防泄漏措施，配备应急冲洗设施（如淋浴器、洗眼器），规范穿戴防化服及护目镜。</w:t>
            </w:r>
          </w:p>
        </w:tc>
      </w:tr>
      <w:tr w14:paraId="3ACF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restart"/>
            <w:vAlign w:val="center"/>
          </w:tcPr>
          <w:p w14:paraId="233675F9">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05</w:t>
            </w:r>
          </w:p>
        </w:tc>
        <w:tc>
          <w:tcPr>
            <w:tcW w:w="1157" w:type="pct"/>
            <w:gridSpan w:val="2"/>
            <w:vMerge w:val="restart"/>
            <w:vAlign w:val="center"/>
          </w:tcPr>
          <w:p w14:paraId="6E917391">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高处坠落与坍塌</w:t>
            </w:r>
          </w:p>
        </w:tc>
        <w:tc>
          <w:tcPr>
            <w:tcW w:w="1157" w:type="pct"/>
            <w:vAlign w:val="center"/>
          </w:tcPr>
          <w:p w14:paraId="022A6EC1">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高处作业坠落</w:t>
            </w:r>
          </w:p>
        </w:tc>
        <w:tc>
          <w:tcPr>
            <w:tcW w:w="1276" w:type="pct"/>
            <w:vAlign w:val="center"/>
          </w:tcPr>
          <w:p w14:paraId="34310041">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炉体平台、料仓顶部、烟囱检修时防护不足。</w:t>
            </w:r>
          </w:p>
        </w:tc>
        <w:tc>
          <w:tcPr>
            <w:tcW w:w="1065" w:type="pct"/>
            <w:vAlign w:val="center"/>
          </w:tcPr>
          <w:p w14:paraId="5B247CDC">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三宝四口五临边"防护（安全帽、安全带、安全网；楼梯口、电梯井口、预留洞口、通道口；阳台临边、楼层临边、屋面临边、基坑临边、卸料平台临边），落实防坠器、生命线等防坠落系统，规范高处作业审批与监护制度。</w:t>
            </w:r>
          </w:p>
        </w:tc>
      </w:tr>
      <w:tr w14:paraId="29FF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3A38D5BB">
            <w:pPr>
              <w:pStyle w:val="19"/>
              <w:bidi w:val="0"/>
              <w:jc w:val="center"/>
              <w:rPr>
                <w:rFonts w:hint="default" w:ascii="方正仿宋_GB2312" w:hAnsi="方正仿宋_GB2312" w:eastAsia="方正仿宋_GB2312" w:cs="方正仿宋_GB2312"/>
                <w:lang w:val="en-US" w:eastAsia="zh-CN"/>
              </w:rPr>
            </w:pPr>
          </w:p>
        </w:tc>
        <w:tc>
          <w:tcPr>
            <w:tcW w:w="1157" w:type="pct"/>
            <w:gridSpan w:val="2"/>
            <w:vMerge w:val="continue"/>
            <w:vAlign w:val="center"/>
          </w:tcPr>
          <w:p w14:paraId="6EFD1E50">
            <w:pPr>
              <w:pStyle w:val="19"/>
              <w:bidi w:val="0"/>
              <w:jc w:val="center"/>
              <w:rPr>
                <w:rFonts w:hint="default" w:ascii="方正仿宋_GB2312" w:hAnsi="方正仿宋_GB2312" w:eastAsia="方正仿宋_GB2312" w:cs="方正仿宋_GB2312"/>
                <w:lang w:val="en-US" w:eastAsia="zh-CN"/>
              </w:rPr>
            </w:pPr>
          </w:p>
        </w:tc>
        <w:tc>
          <w:tcPr>
            <w:tcW w:w="1157" w:type="pct"/>
            <w:vAlign w:val="center"/>
          </w:tcPr>
          <w:p w14:paraId="185ACFBA">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建筑结构坍塌</w:t>
            </w:r>
          </w:p>
        </w:tc>
        <w:tc>
          <w:tcPr>
            <w:tcW w:w="1276" w:type="pct"/>
            <w:vAlign w:val="center"/>
          </w:tcPr>
          <w:p w14:paraId="193CD0F5">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厂房老化、矿渣堆场滑坡、除尘器或储罐超压垮塌。</w:t>
            </w:r>
          </w:p>
        </w:tc>
        <w:tc>
          <w:tcPr>
            <w:tcW w:w="1065" w:type="pct"/>
            <w:vAlign w:val="center"/>
          </w:tcPr>
          <w:p w14:paraId="72A736EC">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严格实施建筑结构定期安全鉴定，落实荷载控制与动态监测，强化钢结构防腐/混凝土耐久性维护，规范厂房改建审批流程，设置沉降观测点及裂缝预警系统，并开展极端天气前专项检查。</w:t>
            </w:r>
          </w:p>
        </w:tc>
      </w:tr>
      <w:tr w14:paraId="63B3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restart"/>
            <w:vAlign w:val="center"/>
          </w:tcPr>
          <w:p w14:paraId="22EF935C">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06</w:t>
            </w:r>
          </w:p>
        </w:tc>
        <w:tc>
          <w:tcPr>
            <w:tcW w:w="1157" w:type="pct"/>
            <w:gridSpan w:val="2"/>
            <w:vMerge w:val="restart"/>
            <w:vAlign w:val="center"/>
          </w:tcPr>
          <w:p w14:paraId="2E266505">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电气事故</w:t>
            </w:r>
          </w:p>
        </w:tc>
        <w:tc>
          <w:tcPr>
            <w:tcW w:w="1157" w:type="pct"/>
            <w:vAlign w:val="center"/>
          </w:tcPr>
          <w:p w14:paraId="0384A5C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触电</w:t>
            </w:r>
          </w:p>
        </w:tc>
        <w:tc>
          <w:tcPr>
            <w:tcW w:w="1276" w:type="pct"/>
            <w:vAlign w:val="center"/>
          </w:tcPr>
          <w:p w14:paraId="684647D1">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高压设备（电解槽、电弧炉）漏电、电缆老化或违规操作。</w:t>
            </w:r>
          </w:p>
        </w:tc>
        <w:tc>
          <w:tcPr>
            <w:tcW w:w="1065" w:type="pct"/>
            <w:vAlign w:val="center"/>
          </w:tcPr>
          <w:p w14:paraId="1712F539">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电气作业"两票三制"（工作票、操作票；交接班制、巡回检查制、设备定期试验轮换制），落实线路绝缘检测与漏电保护，规范临时用电审批，强化"停电-验电-接地-挂牌"四步操作，并配备绝缘防护用具及应急救护设备。</w:t>
            </w:r>
          </w:p>
        </w:tc>
      </w:tr>
      <w:tr w14:paraId="7312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Merge w:val="continue"/>
            <w:vAlign w:val="center"/>
          </w:tcPr>
          <w:p w14:paraId="73413D75">
            <w:pPr>
              <w:pStyle w:val="19"/>
              <w:bidi w:val="0"/>
              <w:jc w:val="center"/>
              <w:rPr>
                <w:rFonts w:hint="eastAsia" w:ascii="方正仿宋_GB2312" w:hAnsi="方正仿宋_GB2312" w:eastAsia="方正仿宋_GB2312" w:cs="方正仿宋_GB2312"/>
                <w:lang w:val="en-US" w:eastAsia="zh-CN"/>
              </w:rPr>
            </w:pPr>
          </w:p>
        </w:tc>
        <w:tc>
          <w:tcPr>
            <w:tcW w:w="1157" w:type="pct"/>
            <w:gridSpan w:val="2"/>
            <w:vMerge w:val="continue"/>
            <w:vAlign w:val="center"/>
          </w:tcPr>
          <w:p w14:paraId="6F7FC151">
            <w:pPr>
              <w:pStyle w:val="19"/>
              <w:bidi w:val="0"/>
              <w:jc w:val="center"/>
              <w:rPr>
                <w:rFonts w:hint="eastAsia" w:ascii="方正仿宋_GB2312" w:hAnsi="方正仿宋_GB2312" w:eastAsia="方正仿宋_GB2312" w:cs="方正仿宋_GB2312"/>
                <w:lang w:val="en-US" w:eastAsia="zh-CN"/>
              </w:rPr>
            </w:pPr>
          </w:p>
        </w:tc>
        <w:tc>
          <w:tcPr>
            <w:tcW w:w="1157" w:type="pct"/>
            <w:vAlign w:val="center"/>
          </w:tcPr>
          <w:p w14:paraId="6BDD9FD6">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电气火灾</w:t>
            </w:r>
          </w:p>
        </w:tc>
        <w:tc>
          <w:tcPr>
            <w:tcW w:w="1276" w:type="pct"/>
            <w:vAlign w:val="center"/>
          </w:tcPr>
          <w:p w14:paraId="28DEBD21">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短路、过载引发设备或线路起火。</w:t>
            </w:r>
          </w:p>
        </w:tc>
        <w:tc>
          <w:tcPr>
            <w:tcW w:w="1065" w:type="pct"/>
            <w:vAlign w:val="center"/>
          </w:tcPr>
          <w:p w14:paraId="1513F279">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严格实施电气线路与设备定期检测维护，规范负荷管理防止过载，落实短路及漏电保护装置，强化易燃物与电气设备安全距离管控，并配备电气火灾监控系统与专用灭火装置。</w:t>
            </w:r>
          </w:p>
        </w:tc>
      </w:tr>
      <w:tr w14:paraId="0A04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Align w:val="center"/>
          </w:tcPr>
          <w:p w14:paraId="7C54D88F">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07</w:t>
            </w:r>
          </w:p>
        </w:tc>
        <w:tc>
          <w:tcPr>
            <w:tcW w:w="1157" w:type="pct"/>
            <w:gridSpan w:val="2"/>
            <w:vAlign w:val="center"/>
          </w:tcPr>
          <w:p w14:paraId="61B0641E">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车辆伤害</w:t>
            </w:r>
          </w:p>
        </w:tc>
        <w:tc>
          <w:tcPr>
            <w:tcW w:w="1157" w:type="pct"/>
            <w:vAlign w:val="center"/>
          </w:tcPr>
          <w:p w14:paraId="19068269">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厂内运输事故</w:t>
            </w:r>
          </w:p>
        </w:tc>
        <w:tc>
          <w:tcPr>
            <w:tcW w:w="1276" w:type="pct"/>
            <w:vAlign w:val="center"/>
          </w:tcPr>
          <w:p w14:paraId="0FACBFC7">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叉车、货车碰撞，铁水罐车倾翻，轨道车辆脱轨。</w:t>
            </w:r>
          </w:p>
        </w:tc>
        <w:tc>
          <w:tcPr>
            <w:tcW w:w="1065" w:type="pct"/>
            <w:vAlign w:val="center"/>
          </w:tcPr>
          <w:p w14:paraId="02C119A6">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严格执行"人车分流"管理，落实车辆限速及倒车报警装置，规范厂区交通标志与反光标识设置，强化驾驶员持证培训及车辆日常点检，并设置交叉路口警示镜与防撞设施。</w:t>
            </w:r>
          </w:p>
        </w:tc>
      </w:tr>
      <w:tr w14:paraId="1E3A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Align w:val="center"/>
          </w:tcPr>
          <w:p w14:paraId="4A532ACC">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08</w:t>
            </w:r>
          </w:p>
        </w:tc>
        <w:tc>
          <w:tcPr>
            <w:tcW w:w="2314" w:type="pct"/>
            <w:gridSpan w:val="3"/>
            <w:vAlign w:val="center"/>
          </w:tcPr>
          <w:p w14:paraId="09F26B50">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淹溺</w:t>
            </w:r>
          </w:p>
        </w:tc>
        <w:tc>
          <w:tcPr>
            <w:tcW w:w="1276" w:type="pct"/>
            <w:vAlign w:val="center"/>
          </w:tcPr>
          <w:p w14:paraId="3135DD7D">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深水池、循环水系统作业失足。</w:t>
            </w:r>
          </w:p>
        </w:tc>
        <w:tc>
          <w:tcPr>
            <w:tcW w:w="1065" w:type="pct"/>
            <w:vAlign w:val="center"/>
          </w:tcPr>
          <w:p w14:paraId="17E21919">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严格管控水池、窖井等危险水域，设置防护栏及警示标识，落实作业审批与监护制度，配备救生圈等应急器材，强化防溺水安全培训，并定期检查排水设施完好性。</w:t>
            </w:r>
          </w:p>
        </w:tc>
      </w:tr>
      <w:tr w14:paraId="03F8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Align w:val="center"/>
          </w:tcPr>
          <w:p w14:paraId="784D694E">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09</w:t>
            </w:r>
          </w:p>
        </w:tc>
        <w:tc>
          <w:tcPr>
            <w:tcW w:w="2314" w:type="pct"/>
            <w:gridSpan w:val="3"/>
            <w:vAlign w:val="center"/>
          </w:tcPr>
          <w:p w14:paraId="4153E9F0">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噪声与振动伤害</w:t>
            </w:r>
          </w:p>
        </w:tc>
        <w:tc>
          <w:tcPr>
            <w:tcW w:w="1276" w:type="pct"/>
            <w:vAlign w:val="center"/>
          </w:tcPr>
          <w:p w14:paraId="7B5FA517">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长期暴露导致职业病。</w:t>
            </w:r>
          </w:p>
        </w:tc>
        <w:tc>
          <w:tcPr>
            <w:tcW w:w="1065" w:type="pct"/>
            <w:vAlign w:val="center"/>
          </w:tcPr>
          <w:p w14:paraId="5DE65F9B">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严格实施"隔声-消声-吸声"三级降噪措施，规范佩戴防噪耳塞/耳罩，落实设备减振基础与弹性支撑，强化高危区域声压监测及人员职业健康监护，并定期开展听力保护培训。</w:t>
            </w:r>
          </w:p>
        </w:tc>
      </w:tr>
      <w:tr w14:paraId="4490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44" w:type="pct"/>
            <w:vAlign w:val="center"/>
          </w:tcPr>
          <w:p w14:paraId="622C97C1">
            <w:pPr>
              <w:pStyle w:val="19"/>
              <w:bidi w:val="0"/>
              <w:jc w:val="center"/>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10</w:t>
            </w:r>
          </w:p>
        </w:tc>
        <w:tc>
          <w:tcPr>
            <w:tcW w:w="2314" w:type="pct"/>
            <w:gridSpan w:val="3"/>
            <w:vAlign w:val="center"/>
          </w:tcPr>
          <w:p w14:paraId="4467134D">
            <w:pPr>
              <w:pStyle w:val="19"/>
              <w:bidi w:val="0"/>
              <w:jc w:val="cente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辐射伤害</w:t>
            </w:r>
          </w:p>
        </w:tc>
        <w:tc>
          <w:tcPr>
            <w:tcW w:w="1276" w:type="pct"/>
            <w:vAlign w:val="center"/>
          </w:tcPr>
          <w:p w14:paraId="63F6BBE6">
            <w:pPr>
              <w:pStyle w:val="19"/>
              <w:bidi w:val="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X射线探伤设备或放射性物质管理不当。</w:t>
            </w:r>
          </w:p>
        </w:tc>
        <w:tc>
          <w:tcPr>
            <w:tcW w:w="1065" w:type="pct"/>
            <w:vAlign w:val="center"/>
          </w:tcPr>
          <w:p w14:paraId="09B8C1AA">
            <w:pPr>
              <w:pStyle w:val="19"/>
              <w:bidi w:val="0"/>
              <w:jc w:val="left"/>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严格实施辐射源分级管控，落实屏蔽防护与距离管理，规范佩戴个人剂量计及防护装备，设置警示标识与联锁装置，强化辐射区域监测。</w:t>
            </w:r>
          </w:p>
        </w:tc>
      </w:tr>
    </w:tbl>
    <w:p w14:paraId="66685ADF">
      <w:pPr>
        <w:pStyle w:val="2"/>
        <w:rPr>
          <w:rFonts w:hint="eastAsia"/>
          <w:lang w:val="en-US" w:eastAsia="zh-CN"/>
        </w:rPr>
      </w:pPr>
    </w:p>
    <w:sectPr>
      <w:type w:val="continuous"/>
      <w:pgSz w:w="16838" w:h="11906" w:orient="landscape"/>
      <w:pgMar w:top="1015" w:right="1480" w:bottom="1553" w:left="181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41610F-43EE-4B5D-8DD3-C5AADF988285}"/>
  </w:font>
  <w:font w:name="黑体">
    <w:panose1 w:val="02010609060101010101"/>
    <w:charset w:val="86"/>
    <w:family w:val="auto"/>
    <w:pitch w:val="default"/>
    <w:sig w:usb0="800002BF" w:usb1="38CF7CFA" w:usb2="00000016" w:usb3="00000000" w:csb0="00040001" w:csb1="00000000"/>
    <w:embedRegular r:id="rId2" w:fontKey="{5211CC43-8E11-447E-89FC-5837A367E3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9E11042-F3B7-4F83-A472-A22D4D3677AB}"/>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0294515A-2381-4652-86B8-24F6F4673B27}"/>
  </w:font>
  <w:font w:name="仿宋">
    <w:panose1 w:val="02010609060101010101"/>
    <w:charset w:val="86"/>
    <w:family w:val="auto"/>
    <w:pitch w:val="default"/>
    <w:sig w:usb0="800002BF" w:usb1="38CF7CFA" w:usb2="00000016" w:usb3="00000000" w:csb0="00040001" w:csb1="00000000"/>
    <w:embedRegular r:id="rId5" w:fontKey="{919CF0AB-89E4-4275-8488-625C9F2100C7}"/>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embedRegular r:id="rId6" w:fontKey="{64497E30-CE26-4726-8B5C-7924B664CE4A}"/>
  </w:font>
  <w:font w:name="微软雅黑">
    <w:panose1 w:val="020B0503020204020204"/>
    <w:charset w:val="86"/>
    <w:family w:val="auto"/>
    <w:pitch w:val="default"/>
    <w:sig w:usb0="80000287" w:usb1="280F3C52" w:usb2="00000016" w:usb3="00000000" w:csb0="0004001F" w:csb1="00000000"/>
    <w:embedRegular r:id="rId7" w:fontKey="{4E2655D0-6A25-450B-8B7B-7A37C963386D}"/>
  </w:font>
  <w:font w:name="方正仿宋_GB2312">
    <w:panose1 w:val="02000000000000000000"/>
    <w:charset w:val="86"/>
    <w:family w:val="auto"/>
    <w:pitch w:val="default"/>
    <w:sig w:usb0="A00002BF" w:usb1="184F6CFA" w:usb2="00000012" w:usb3="00000000" w:csb0="00040001" w:csb1="00000000"/>
    <w:embedRegular r:id="rId8" w:fontKey="{1070D958-C237-4231-BC0A-79187D68A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D48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9D78">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0F3E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1C0F3E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5DE1D">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8709B">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618709B">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AA152">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AF66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54AF66D">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EA5E">
    <w:pPr>
      <w:spacing w:before="1" w:line="176" w:lineRule="auto"/>
      <w:ind w:left="3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AA98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2EAA983">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928F">
    <w:pPr>
      <w:spacing w:line="177" w:lineRule="auto"/>
      <w:ind w:left="12094"/>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D92B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C7D92B8">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WIyNDk4ZmE5YTliOGIyYTg0NDIwZTExN2RiYTMifQ=="/>
  </w:docVars>
  <w:rsids>
    <w:rsidRoot w:val="63E93EB2"/>
    <w:rsid w:val="001C66E0"/>
    <w:rsid w:val="004874D5"/>
    <w:rsid w:val="05667F83"/>
    <w:rsid w:val="098756D6"/>
    <w:rsid w:val="0D343201"/>
    <w:rsid w:val="0DDE710A"/>
    <w:rsid w:val="10CA5CE4"/>
    <w:rsid w:val="10F86FE5"/>
    <w:rsid w:val="1230601B"/>
    <w:rsid w:val="14283FB0"/>
    <w:rsid w:val="167F131F"/>
    <w:rsid w:val="1AE77916"/>
    <w:rsid w:val="1B210BF7"/>
    <w:rsid w:val="1B716ADB"/>
    <w:rsid w:val="1BA535D6"/>
    <w:rsid w:val="1DA83DB7"/>
    <w:rsid w:val="1DCE8634"/>
    <w:rsid w:val="2A816FBC"/>
    <w:rsid w:val="2ACE3237"/>
    <w:rsid w:val="2B6227FB"/>
    <w:rsid w:val="2CC55886"/>
    <w:rsid w:val="2D337650"/>
    <w:rsid w:val="2E7A7C6E"/>
    <w:rsid w:val="2FF81ACE"/>
    <w:rsid w:val="30EE0AB7"/>
    <w:rsid w:val="339E298D"/>
    <w:rsid w:val="367D3F01"/>
    <w:rsid w:val="36C070BE"/>
    <w:rsid w:val="38083CB8"/>
    <w:rsid w:val="3DF71167"/>
    <w:rsid w:val="42655289"/>
    <w:rsid w:val="442E57EB"/>
    <w:rsid w:val="47370CD6"/>
    <w:rsid w:val="473944CC"/>
    <w:rsid w:val="487815A6"/>
    <w:rsid w:val="4B720AA7"/>
    <w:rsid w:val="4C8175CF"/>
    <w:rsid w:val="58AA739A"/>
    <w:rsid w:val="5D190DF8"/>
    <w:rsid w:val="5DC13151"/>
    <w:rsid w:val="5DFB7209"/>
    <w:rsid w:val="5FDC0215"/>
    <w:rsid w:val="61987604"/>
    <w:rsid w:val="62C756CF"/>
    <w:rsid w:val="63E93EB2"/>
    <w:rsid w:val="64840581"/>
    <w:rsid w:val="649E3CEB"/>
    <w:rsid w:val="6C092392"/>
    <w:rsid w:val="6EC573F4"/>
    <w:rsid w:val="6EFEC067"/>
    <w:rsid w:val="71436346"/>
    <w:rsid w:val="7372A5F6"/>
    <w:rsid w:val="73D634A1"/>
    <w:rsid w:val="75EF25F8"/>
    <w:rsid w:val="77C24E9B"/>
    <w:rsid w:val="77DB72D8"/>
    <w:rsid w:val="78FA1E5E"/>
    <w:rsid w:val="791BE14A"/>
    <w:rsid w:val="7A3235FB"/>
    <w:rsid w:val="7B7B738A"/>
    <w:rsid w:val="7BDA6EC0"/>
    <w:rsid w:val="7DF73A07"/>
    <w:rsid w:val="7F1C1E8D"/>
    <w:rsid w:val="7F9731D1"/>
    <w:rsid w:val="7FFDEAD7"/>
    <w:rsid w:val="CB25F4C9"/>
    <w:rsid w:val="CB7D688C"/>
    <w:rsid w:val="DBFF9F7C"/>
    <w:rsid w:val="DFDDF293"/>
    <w:rsid w:val="E77CE691"/>
    <w:rsid w:val="EB1ADF67"/>
    <w:rsid w:val="F2A78F72"/>
    <w:rsid w:val="F65DCCD7"/>
    <w:rsid w:val="F67E19A0"/>
    <w:rsid w:val="F7FB40E4"/>
    <w:rsid w:val="F93F2A92"/>
    <w:rsid w:val="FAF9AEA2"/>
    <w:rsid w:val="FDCFD9D7"/>
    <w:rsid w:val="FFF9F283"/>
    <w:rsid w:val="FFFF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outlineLvl w:val="0"/>
    </w:pPr>
    <w:rPr>
      <w:rFonts w:hint="eastAsia" w:ascii="宋体" w:hAnsi="宋体" w:eastAsia="黑体" w:cs="宋体"/>
      <w:bCs/>
      <w:kern w:val="44"/>
      <w:sz w:val="32"/>
      <w:szCs w:val="48"/>
      <w:lang w:bidi="ar"/>
    </w:rPr>
  </w:style>
  <w:style w:type="paragraph" w:styleId="6">
    <w:name w:val="heading 2"/>
    <w:basedOn w:val="1"/>
    <w:next w:val="1"/>
    <w:unhideWhenUsed/>
    <w:qFormat/>
    <w:uiPriority w:val="0"/>
    <w:pPr>
      <w:keepNext/>
      <w:keepLines/>
      <w:spacing w:before="20" w:beforeLines="0" w:beforeAutospacing="0" w:after="20" w:afterLines="0" w:afterAutospacing="0" w:line="240" w:lineRule="auto"/>
      <w:ind w:firstLine="640" w:firstLineChars="200"/>
      <w:outlineLvl w:val="1"/>
    </w:pPr>
    <w:rPr>
      <w:rFonts w:ascii="Arial" w:hAnsi="Arial" w:eastAsia="楷体_GB2312"/>
      <w:sz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autoRedefine/>
    <w:qFormat/>
    <w:uiPriority w:val="0"/>
    <w:rPr>
      <w:color w:val="0000FF"/>
      <w:u w:val="single"/>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8597</Words>
  <Characters>8675</Characters>
  <Lines>0</Lines>
  <Paragraphs>0</Paragraphs>
  <TotalTime>24</TotalTime>
  <ScaleCrop>false</ScaleCrop>
  <LinksUpToDate>false</LinksUpToDate>
  <CharactersWithSpaces>8959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2024-05-30T10:17:00Z</dcterms:created>
  <dc:creator>Administrator</dc:creator>
  <cp:lastModifiedBy>刘萍</cp:lastModifiedBy>
  <dcterms:modified xsi:type="dcterms:W3CDTF">2025-07-18T02:06:58Z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CD062EE3CF2742CA84B29065878CBC1D_13</vt:lpwstr>
  </property>
  <property fmtid="{D5CDD505-2E9C-101B-9397-08002B2CF9AE}" pid="4" name="KSOTemplateDocerSaveRecord">
    <vt:lpwstr>eyJoZGlkIjoiODM2MGQ5OTA4MzQzODIzZGFjMzUzMjljNzgyYTQ3NTMiLCJ1c2VySWQiOiIzNjcyOTAzODIifQ==</vt:lpwstr>
  </property>
</Properties>
</file>