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59EA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bCs/>
          <w:i w:val="0"/>
          <w:iCs w:val="0"/>
          <w:caps w:val="0"/>
          <w:color w:val="auto"/>
          <w:spacing w:val="0"/>
          <w:kern w:val="44"/>
          <w:sz w:val="44"/>
          <w:szCs w:val="44"/>
          <w:shd w:val="clear" w:fill="FFFFFF"/>
          <w:lang w:val="en-US" w:eastAsia="zh-CN" w:bidi="ar"/>
        </w:rPr>
      </w:pPr>
      <w:bookmarkStart w:id="40" w:name="_GoBack"/>
      <w:bookmarkEnd w:id="40"/>
      <w:r>
        <w:rPr>
          <w:rFonts w:hint="eastAsia" w:ascii="方正小标宋简体" w:hAnsi="方正小标宋简体" w:eastAsia="方正小标宋简体" w:cs="方正小标宋简体"/>
          <w:b w:val="0"/>
          <w:bCs w:val="0"/>
          <w:i w:val="0"/>
          <w:iCs w:val="0"/>
          <w:caps w:val="0"/>
          <w:color w:val="auto"/>
          <w:spacing w:val="0"/>
          <w:kern w:val="44"/>
          <w:sz w:val="44"/>
          <w:szCs w:val="44"/>
          <w:shd w:val="clear" w:fill="FFFFFF"/>
          <w:lang w:val="en-US" w:eastAsia="zh-CN" w:bidi="ar"/>
        </w:rPr>
        <w:t>浑源县突发地质灾害应急预案</w:t>
      </w:r>
    </w:p>
    <w:p w14:paraId="166D7E07">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instrText xml:space="preserve">TOC \o "1-2" \h \u </w:instrText>
      </w:r>
      <w:r>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fldChar w:fldCharType="separate"/>
      </w:r>
    </w:p>
    <w:p w14:paraId="7D2D9C2A">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_Toc16371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1  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4270648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_Toc29370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1DFE98D8">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_Toc11039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1．2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0319B519">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_Toc2548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1．3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4D7C4CA8">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_Toc9941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1．4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4017971C">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_Toc28612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1．5  地质灾害灾（险）情分级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_Toc28612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4FA938A">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_Toc4913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2  浑源县地质灾害救援指挥体系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A1F24C0">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_Toc22382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2．1  县地质灾害应急指挥部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_Toc22382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1B7133B4">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_Toc17301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2．2  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56A9D139">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_Toc18235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2．3  救援队伍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513A730B">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_Toc19437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3  风险防控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1E171B0A">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_Toc5914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3．1  日常防控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448C2A0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_Toc20792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3．2  灾害防控（二次灾害）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44170816">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_Toc6554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4  监测和预警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4360BD21">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_Toc16177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  应急处置与救援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A67EC7C">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_Toc26983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5．1  信息报送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7E27509">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_Toc5187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5．2  信息处置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ACBF91E">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_Toc26602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5．3  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E9A7086">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_Toc15925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5．4  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03ABBC44">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_Toc7620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5．5  响应调整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8FB6BC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_Toc5430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5．6  响应结束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56749C7">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_Toc29749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6  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05ECB0C5">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_Toc12326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6．1  调查评估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C06584C">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_Toc14004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6．2  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_Toc14004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6F11395">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_Toc25686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6．3  工作总结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0F125B1">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_Toc1598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7  恢复与重建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05D9E467">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_Toc5137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8  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E5DFD6E">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_Toc29733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8．1  应急队伍建设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AEEAA68">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_Toc19119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8．2  应急物资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7E7F683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_Toc26735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8．3  通信保障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3826EEFC">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_Toc23043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8．4  应急技术保障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_Toc23043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A0B6ECD">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_Toc22526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8．5  监督检查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_Toc22526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741AF400">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_Toc3162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9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27859F53">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_Toc12563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9．1  宣传、培训与演练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77BDD538">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_Toc22383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9．2  预案管理与更新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_Toc22383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5EBAA7B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_Toc22775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9．3  责任与奖惩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642458AE">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_Toc8188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9．4  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3D14FCB3">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begin"/>
      </w:r>
      <w:r>
        <w:rPr>
          <w:rFonts w:hint="eastAsia" w:ascii="仿宋_GB2312" w:hAnsi="仿宋_GB2312" w:eastAsia="仿宋_GB2312" w:cs="仿宋_GB2312"/>
          <w:bCs/>
          <w:i w:val="0"/>
          <w:iCs w:val="0"/>
          <w:caps w:val="0"/>
          <w:spacing w:val="0"/>
          <w:kern w:val="44"/>
          <w:sz w:val="32"/>
          <w:szCs w:val="32"/>
          <w:shd w:val="clear" w:fill="FFFFFF"/>
          <w:lang w:val="en-US" w:eastAsia="zh-CN" w:bidi="ar"/>
        </w:rPr>
        <w:instrText xml:space="preserve"> HYPERLINK \l _Toc11205 </w:instrText>
      </w:r>
      <w:r>
        <w:rPr>
          <w:rFonts w:hint="eastAsia" w:ascii="仿宋_GB2312" w:hAnsi="仿宋_GB2312" w:eastAsia="仿宋_GB2312" w:cs="仿宋_GB2312"/>
          <w:bCs/>
          <w:i w:val="0"/>
          <w:iCs w:val="0"/>
          <w:caps w:val="0"/>
          <w:spacing w:val="0"/>
          <w:kern w:val="44"/>
          <w:sz w:val="32"/>
          <w:szCs w:val="32"/>
          <w:shd w:val="clear" w:fill="FFFFFF"/>
          <w:lang w:val="en-US" w:eastAsia="zh-CN" w:bidi="ar"/>
        </w:rPr>
        <w:fldChar w:fldCharType="separate"/>
      </w:r>
      <w:r>
        <w:rPr>
          <w:rFonts w:hint="eastAsia" w:ascii="仿宋_GB2312" w:hAnsi="仿宋_GB2312" w:eastAsia="仿宋_GB2312" w:cs="仿宋_GB2312"/>
          <w:sz w:val="32"/>
          <w:szCs w:val="32"/>
          <w:lang w:val="en-US" w:eastAsia="zh-CN"/>
        </w:rPr>
        <w:t>9．5  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09D4A68F">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lang w:eastAsia="zh-CN"/>
        </w:rPr>
        <w:sectPr>
          <w:footerReference r:id="rId3" w:type="default"/>
          <w:pgSz w:w="11906" w:h="16838"/>
          <w:pgMar w:top="2098" w:right="1474" w:bottom="1984" w:left="1587" w:header="851" w:footer="992" w:gutter="0"/>
          <w:pgNumType w:fmt="numberInDash" w:start="1"/>
          <w:cols w:space="425" w:num="1"/>
          <w:docGrid w:type="lines" w:linePitch="312" w:charSpace="0"/>
        </w:sectPr>
      </w:pPr>
      <w:r>
        <w:rPr>
          <w:rFonts w:hint="eastAsia" w:ascii="仿宋_GB2312" w:hAnsi="仿宋_GB2312" w:eastAsia="仿宋_GB2312" w:cs="仿宋_GB2312"/>
          <w:bCs/>
          <w:i w:val="0"/>
          <w:iCs w:val="0"/>
          <w:caps w:val="0"/>
          <w:color w:val="auto"/>
          <w:spacing w:val="0"/>
          <w:kern w:val="44"/>
          <w:sz w:val="32"/>
          <w:szCs w:val="32"/>
          <w:shd w:val="clear" w:fill="FFFFFF"/>
          <w:lang w:val="en-US" w:eastAsia="zh-CN" w:bidi="ar"/>
        </w:rPr>
        <w:fldChar w:fldCharType="end"/>
      </w:r>
    </w:p>
    <w:p w14:paraId="70129CE3">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sz w:val="32"/>
          <w:szCs w:val="32"/>
          <w:lang w:eastAsia="zh-CN"/>
        </w:rPr>
      </w:pPr>
    </w:p>
    <w:p w14:paraId="0730B4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fill="FFFFFF"/>
          <w:lang w:val="en-US" w:eastAsia="zh-CN" w:bidi="ar"/>
        </w:rPr>
        <w:t>浑源县突发地质灾害应急预案</w:t>
      </w:r>
    </w:p>
    <w:p w14:paraId="5493F2C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jc w:val="both"/>
        <w:textAlignment w:val="auto"/>
        <w:outlineLvl w:val="9"/>
        <w:rPr>
          <w:rFonts w:hint="eastAsia" w:ascii="仿宋_GB2312" w:hAnsi="仿宋_GB2312" w:eastAsia="仿宋_GB2312" w:cs="仿宋_GB2312"/>
          <w:sz w:val="32"/>
          <w:szCs w:val="32"/>
          <w:lang w:val="en-US" w:eastAsia="zh-CN"/>
        </w:rPr>
      </w:pPr>
      <w:bookmarkStart w:id="0" w:name="_Toc16371"/>
    </w:p>
    <w:p w14:paraId="1380806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总则</w:t>
      </w:r>
      <w:bookmarkEnd w:id="0"/>
    </w:p>
    <w:p w14:paraId="3B5B7AB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 w:name="_Toc29370"/>
      <w:r>
        <w:rPr>
          <w:rFonts w:hint="eastAsia" w:ascii="仿宋_GB2312" w:hAnsi="仿宋_GB2312" w:eastAsia="仿宋_GB2312" w:cs="仿宋_GB2312"/>
          <w:b/>
          <w:bCs/>
          <w:sz w:val="32"/>
          <w:szCs w:val="32"/>
          <w:lang w:val="en-US" w:eastAsia="zh-CN"/>
        </w:rPr>
        <w:t>1．1  编制目的</w:t>
      </w:r>
      <w:bookmarkEnd w:id="1"/>
    </w:p>
    <w:p w14:paraId="43C78C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为建立健全突发地质灾害应急救援机制，高效有序地做好全县突发地质灾害应对工作，最大程度减少灾害造成的人员伤亡和财产损失，维护社会稳定。结合我县实际，制定本应急预案。</w:t>
      </w:r>
    </w:p>
    <w:p w14:paraId="1953DDF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 w:name="_Toc11039"/>
      <w:r>
        <w:rPr>
          <w:rFonts w:hint="eastAsia" w:ascii="仿宋_GB2312" w:hAnsi="仿宋_GB2312" w:eastAsia="仿宋_GB2312" w:cs="仿宋_GB2312"/>
          <w:b/>
          <w:bCs/>
          <w:sz w:val="32"/>
          <w:szCs w:val="32"/>
          <w:lang w:val="en-US" w:eastAsia="zh-CN"/>
        </w:rPr>
        <w:t>1．2  工作原则</w:t>
      </w:r>
      <w:bookmarkEnd w:id="2"/>
    </w:p>
    <w:p w14:paraId="75F4BF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突发地质灾害应对工作坚持以人为本、预防为主、统一领导、分级管理、属地为主、群专结合、科学应对、快速反应、专业处置的原则。</w:t>
      </w:r>
    </w:p>
    <w:p w14:paraId="5CE765E1">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 w:name="_Toc2548"/>
      <w:r>
        <w:rPr>
          <w:rFonts w:hint="eastAsia" w:ascii="仿宋_GB2312" w:hAnsi="仿宋_GB2312" w:eastAsia="仿宋_GB2312" w:cs="仿宋_GB2312"/>
          <w:b/>
          <w:bCs/>
          <w:sz w:val="32"/>
          <w:szCs w:val="32"/>
          <w:lang w:val="en-US" w:eastAsia="zh-CN"/>
        </w:rPr>
        <w:t>1．3  编制依据</w:t>
      </w:r>
      <w:bookmarkEnd w:id="3"/>
    </w:p>
    <w:p w14:paraId="6E0C64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中华人民共和国突发事件应对法》《地质灾害防治条例》《国务院关于加强地质灾害防治工作的决定》《山西省突发事件应对条例》《山西省地质灾害防治条例》《国家突发地质灾害应急预案》《山西省突发公共事件总体应急预案》《山西省地质灾害应急预案》《大同市突发公共事件总体应急预案》等。</w:t>
      </w:r>
    </w:p>
    <w:p w14:paraId="716E586F">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 w:name="_Toc9941"/>
      <w:r>
        <w:rPr>
          <w:rFonts w:hint="eastAsia" w:ascii="仿宋_GB2312" w:hAnsi="仿宋_GB2312" w:eastAsia="仿宋_GB2312" w:cs="仿宋_GB2312"/>
          <w:b/>
          <w:bCs/>
          <w:sz w:val="32"/>
          <w:szCs w:val="32"/>
          <w:lang w:val="en-US" w:eastAsia="zh-CN"/>
        </w:rPr>
        <w:t>1．4  适用范围</w:t>
      </w:r>
      <w:bookmarkEnd w:id="4"/>
    </w:p>
    <w:p w14:paraId="4EB0A1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本预案适用于处置本县行政区域内因自然因素或者人为活动引发的危害人民生命和财产安全的山体崩塌、滑坡、泥石流、地面塌陷、地裂缝、地面沉降等与地质作用有关的地质灾害。</w:t>
      </w:r>
    </w:p>
    <w:p w14:paraId="5C65DB8C">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5" w:name="_Toc28612"/>
      <w:r>
        <w:rPr>
          <w:rFonts w:hint="eastAsia" w:ascii="仿宋_GB2312" w:hAnsi="仿宋_GB2312" w:eastAsia="仿宋_GB2312" w:cs="仿宋_GB2312"/>
          <w:b/>
          <w:bCs/>
          <w:sz w:val="32"/>
          <w:szCs w:val="32"/>
          <w:lang w:val="en-US" w:eastAsia="zh-CN"/>
        </w:rPr>
        <w:t>1．5  地质灾害灾（险）情分级</w:t>
      </w:r>
      <w:bookmarkEnd w:id="5"/>
    </w:p>
    <w:p w14:paraId="5D60D3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地质灾害灾（险）情按照避险转移、伤亡人数或经济损失分为小型、中型、大型、特大型四级（见附件4）。</w:t>
      </w:r>
    </w:p>
    <w:p w14:paraId="3292D2E3">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6" w:name="_Toc4913"/>
      <w:r>
        <w:rPr>
          <w:rFonts w:hint="eastAsia" w:ascii="仿宋_GB2312" w:hAnsi="仿宋_GB2312" w:eastAsia="仿宋_GB2312" w:cs="仿宋_GB2312"/>
          <w:b/>
          <w:bCs/>
          <w:sz w:val="32"/>
          <w:szCs w:val="32"/>
          <w:lang w:val="en-US" w:eastAsia="zh-CN"/>
        </w:rPr>
        <w:t>2  浑源县地质灾害救援指挥体系</w:t>
      </w:r>
      <w:bookmarkEnd w:id="6"/>
    </w:p>
    <w:p w14:paraId="02342A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浑源县突发地质灾害应急指挥体系由县地质灾害应急指挥部及其办公室组成。</w:t>
      </w:r>
    </w:p>
    <w:p w14:paraId="71C39E05">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7" w:name="_Toc22382"/>
      <w:r>
        <w:rPr>
          <w:rFonts w:hint="eastAsia" w:ascii="仿宋_GB2312" w:hAnsi="仿宋_GB2312" w:eastAsia="仿宋_GB2312" w:cs="仿宋_GB2312"/>
          <w:b/>
          <w:bCs/>
          <w:sz w:val="32"/>
          <w:szCs w:val="32"/>
          <w:lang w:val="en-US" w:eastAsia="zh-CN"/>
        </w:rPr>
        <w:t>2．1  县地质灾害应急指挥部</w:t>
      </w:r>
      <w:bookmarkEnd w:id="7"/>
    </w:p>
    <w:p w14:paraId="6EE739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指挥长：县政府分管自然资源工作的副县长。</w:t>
      </w:r>
    </w:p>
    <w:p w14:paraId="7A84F2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副指挥长：县政府办副主任、县应急管理局局长、县自然资源局局长、县公安局副局长、县气象局局长、武警浑源中队队长、县消防救援大队大队长。</w:t>
      </w:r>
    </w:p>
    <w:p w14:paraId="4D82EE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  员：县委宣传部、县发展改革和科技局、县教育局、县公安局、县工信局、县民政局、县司法局、县财政局、县人社局、县自然资源局、县住建局、市生态环境局浑源分局、县交通运输局、县水务局、县农业农村局、县文旅局、</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卫体局、县应急管理局、</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市场监督管理局、县能源局、</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气象局、浑源武警中队、浑源县消防救援大队、</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防震减灾中心、中国联通浑源公司、中国移动浑源公司、中国电信浑源公司、浑源供电公司、浑源县武装部、县红十字会、驻浑各保险公司、浑源百川煤业有限公司等有关部门和单位分管领导。根据救援实际情况，指挥长可抽调相关县直单位分管负责人为成员。</w:t>
      </w:r>
    </w:p>
    <w:p w14:paraId="20C4AB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浑源县地质灾害应急指挥部（以下简称县指挥部）下设办公室，办公室设在县应急管理局，办公室主任由县应急管理局和县自然资源局主要负责人兼任（县指挥部及其办公室、成员单位职责见附件2）。</w:t>
      </w:r>
    </w:p>
    <w:p w14:paraId="724965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人民政府设立相应的地质灾害应急指挥部及其办公室，负责组织、协调和指导本行政区域地质灾害应急工作。各乡（镇）人民政府及辖区内涉及地质灾害的生产经营单位应成立相应的突发地质灾害应急指挥机构，并制定应急指挥机构职责。</w:t>
      </w:r>
    </w:p>
    <w:p w14:paraId="0E3301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县级指挥部是应对本县行政区域小型地质灾害（转移人数100人以下或因灾死亡&lt;含失联&gt;3人以下）的主体。</w:t>
      </w:r>
    </w:p>
    <w:p w14:paraId="340B87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跨县地质灾害应急救援工作，必要时由市指挥部负责与相邻县进行协调。</w:t>
      </w:r>
    </w:p>
    <w:p w14:paraId="35027AB1">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8" w:name="_Toc17301"/>
      <w:r>
        <w:rPr>
          <w:rFonts w:hint="eastAsia" w:ascii="仿宋_GB2312" w:hAnsi="仿宋_GB2312" w:eastAsia="仿宋_GB2312" w:cs="仿宋_GB2312"/>
          <w:b/>
          <w:bCs/>
          <w:sz w:val="32"/>
          <w:szCs w:val="32"/>
          <w:lang w:val="en-US" w:eastAsia="zh-CN"/>
        </w:rPr>
        <w:t>2．2  现场指挥部</w:t>
      </w:r>
      <w:bookmarkEnd w:id="8"/>
    </w:p>
    <w:p w14:paraId="031929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指挥长：县政府分管自然资源工作的副县长。</w:t>
      </w:r>
    </w:p>
    <w:p w14:paraId="57CE3D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副指挥长：</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政府办副主任、县应急管理局局长、县自然资源局局长、浑源武警中队队长、县消防救援大队大队长、事发地乡镇长。</w:t>
      </w:r>
    </w:p>
    <w:p w14:paraId="0A1AA3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指挥部下设综合组、抢险救援组、技术组、通信保障组、涉险人员核查组、人员安置组、后勤保障组、医学救援组、社会稳定组等10个工作组。根据现场情况，指挥长可视情况调整工作组组成单位及职责。</w:t>
      </w:r>
    </w:p>
    <w:p w14:paraId="15ADB464">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2．2．1  综合组</w:t>
      </w:r>
    </w:p>
    <w:p w14:paraId="2DB790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长：县应急管理局局长</w:t>
      </w:r>
    </w:p>
    <w:p w14:paraId="087401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成员单位：县应急管理局、县自然资源局、事发地乡镇政府及相关单位</w:t>
      </w:r>
    </w:p>
    <w:p w14:paraId="344502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职  责：收集、汇总、上报灾情和救援动态信息，承办文秘会务工作，协调、服务、督办工作落实，完成指挥部交办的其他任务。</w:t>
      </w:r>
    </w:p>
    <w:p w14:paraId="6F7F599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2．2．2  抢险救援组</w:t>
      </w:r>
    </w:p>
    <w:p w14:paraId="3EF817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长：县消防救援大队大队长</w:t>
      </w:r>
    </w:p>
    <w:p w14:paraId="66190B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成员单位：浑源县武装部、浑源武警中队、县消防救援大队、县公安局、县民政局、县自然资源局、县应急管理局、县交通运输局、县住建局、</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卫体局、县能源局、县红十字会和乡镇政府</w:t>
      </w:r>
    </w:p>
    <w:p w14:paraId="45FADC9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主要职责：拟定救援方案，调配救援力量，人员搜救，救援指导。</w:t>
      </w:r>
    </w:p>
    <w:p w14:paraId="4ADB6C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2．2．3  技术组</w:t>
      </w:r>
    </w:p>
    <w:p w14:paraId="703116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长：县自然资源局局长</w:t>
      </w:r>
    </w:p>
    <w:p w14:paraId="6364EA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成员单位：县自然资源局、县住建局</w:t>
      </w:r>
    </w:p>
    <w:p w14:paraId="3E2986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技术组下设专家组</w:t>
      </w:r>
    </w:p>
    <w:p w14:paraId="44A117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主要职责：提供灾害点的基础信息和测绘图件，指导周边隐患排查和危险区划定，灾害趋势预测，提出处置建议，安全监测。</w:t>
      </w:r>
    </w:p>
    <w:p w14:paraId="2E5CF5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2．2．4  通信保障组</w:t>
      </w:r>
    </w:p>
    <w:p w14:paraId="1106B55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长：县工信局局长</w:t>
      </w:r>
    </w:p>
    <w:p w14:paraId="46C8E50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成员单位：县工信局、县应急管理局、中国联通浑源公司、中国移动浑源公司、中国电信浑源公司、事发地乡镇政府及相关单位</w:t>
      </w:r>
    </w:p>
    <w:p w14:paraId="72CFA1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主要职责：保障通信网络畅通。</w:t>
      </w:r>
    </w:p>
    <w:p w14:paraId="5B31F8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2．2．5  涉险人员核查组</w:t>
      </w:r>
    </w:p>
    <w:p w14:paraId="215C18B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长：县公安局副局长</w:t>
      </w:r>
    </w:p>
    <w:p w14:paraId="714498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成员单位：县公安局、事发地乡镇政府及相关单位</w:t>
      </w:r>
    </w:p>
    <w:p w14:paraId="0BA1F9E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主要职责：核查涉险人员身份信息，提供失联人员分布图。</w:t>
      </w:r>
    </w:p>
    <w:p w14:paraId="7E004D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2．2．6  人员安置组</w:t>
      </w:r>
    </w:p>
    <w:p w14:paraId="0B7DB0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长：县发展改革和科技局主要负责人</w:t>
      </w:r>
    </w:p>
    <w:p w14:paraId="48B098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成员单位：县发展改革和科技局、县教育局、县工信局、县公安局、县财政局、县民政局、县应急管理局、事发地乡镇政府及相关单位</w:t>
      </w:r>
    </w:p>
    <w:p w14:paraId="7603B8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主要职责：做好灾民转移、安置、安抚、抚恤伤亡人员和家属，处理其他有关善后工作。</w:t>
      </w:r>
    </w:p>
    <w:p w14:paraId="429A03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2．2．7  后勤保障组</w:t>
      </w:r>
    </w:p>
    <w:p w14:paraId="221722C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长：县应急局主要负责人</w:t>
      </w:r>
    </w:p>
    <w:p w14:paraId="2532F7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成员单位：县发展改革和科技局、县工信局、县能源局、县应急局、县住建局、县交通运输局、县气象局、浑源供电公司、事发地乡镇政府</w:t>
      </w:r>
    </w:p>
    <w:p w14:paraId="540433A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主要职责：救援现场所需电力、照明、装备、油料等物资保障，后勤服务保障，队伍和装备场地保障。</w:t>
      </w:r>
    </w:p>
    <w:p w14:paraId="0957745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2．2．8  医学救护组</w:t>
      </w:r>
    </w:p>
    <w:p w14:paraId="6A92196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卫体局局长</w:t>
      </w:r>
    </w:p>
    <w:p w14:paraId="44E150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w:t>
      </w:r>
      <w:r>
        <w:rPr>
          <w:rFonts w:hint="eastAsia" w:ascii="仿宋_GB2312" w:hAnsi="仿宋_GB2312" w:eastAsia="仿宋_GB2312" w:cs="仿宋_GB2312"/>
          <w:b w:val="0"/>
          <w:bCs w:val="0"/>
          <w:color w:val="auto"/>
          <w:kern w:val="1"/>
          <w:sz w:val="32"/>
          <w:szCs w:val="32"/>
          <w:lang w:val="zh-CN" w:eastAsia="zh-CN" w:bidi="ar"/>
        </w:rPr>
        <w:t>县</w:t>
      </w:r>
      <w:r>
        <w:rPr>
          <w:rFonts w:hint="eastAsia" w:ascii="仿宋_GB2312" w:hAnsi="仿宋_GB2312" w:eastAsia="仿宋_GB2312" w:cs="仿宋_GB2312"/>
          <w:b w:val="0"/>
          <w:bCs w:val="0"/>
          <w:color w:val="auto"/>
          <w:kern w:val="1"/>
          <w:sz w:val="32"/>
          <w:szCs w:val="32"/>
          <w:lang w:val="en-US" w:eastAsia="zh-CN" w:bidi="ar"/>
        </w:rPr>
        <w:t>卫体局、事发地乡镇政府及县级医疗机构</w:t>
      </w:r>
    </w:p>
    <w:p w14:paraId="76EDC33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主要职责：负责伤员救治和医疗卫生保障，调派县级医疗资源指导援助，灾害区域和人员安置点卫生防疫</w:t>
      </w:r>
    </w:p>
    <w:p w14:paraId="45E155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2．2．9  社会稳定组</w:t>
      </w:r>
    </w:p>
    <w:p w14:paraId="08D701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长：县公安局副局长</w:t>
      </w:r>
    </w:p>
    <w:p w14:paraId="32E81A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成员单位：县公安局、武警浑源中队、县司法局、县文旅局</w:t>
      </w:r>
    </w:p>
    <w:p w14:paraId="21ADFF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主要职责：负责现场及周边治安维护和交通管制、疏导，做好安置点治安维护。</w:t>
      </w:r>
    </w:p>
    <w:p w14:paraId="296FE4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2．2．10  宣传报道组</w:t>
      </w:r>
    </w:p>
    <w:p w14:paraId="1251EF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组  长：县委宣传部分管副部长</w:t>
      </w:r>
    </w:p>
    <w:p w14:paraId="056465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成员单位：县委宣传部、事发地乡镇政府及相关单位</w:t>
      </w:r>
    </w:p>
    <w:p w14:paraId="5BA035A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主要职责：组织协调新闻媒体开展新闻报道，新闻发布，引导舆论。</w:t>
      </w:r>
    </w:p>
    <w:p w14:paraId="583AF54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9" w:name="_Toc18235"/>
      <w:r>
        <w:rPr>
          <w:rFonts w:hint="eastAsia" w:ascii="仿宋_GB2312" w:hAnsi="仿宋_GB2312" w:eastAsia="仿宋_GB2312" w:cs="仿宋_GB2312"/>
          <w:b/>
          <w:bCs/>
          <w:sz w:val="32"/>
          <w:szCs w:val="32"/>
          <w:lang w:val="en-US" w:eastAsia="zh-CN"/>
        </w:rPr>
        <w:t>2．3  救援队伍</w:t>
      </w:r>
      <w:bookmarkEnd w:id="9"/>
    </w:p>
    <w:p w14:paraId="1AC37B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浑源县地质灾害救援队伍以县消防救援大队为主力，武警为突击力量，县综合应急救援队和社会救援队伍为辅助力量。</w:t>
      </w:r>
    </w:p>
    <w:p w14:paraId="00DE6452">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SA"/>
        </w:rPr>
      </w:pPr>
      <w:bookmarkStart w:id="10" w:name="_Toc19437"/>
      <w:r>
        <w:rPr>
          <w:rFonts w:hint="eastAsia" w:ascii="仿宋_GB2312" w:hAnsi="仿宋_GB2312" w:eastAsia="仿宋_GB2312" w:cs="仿宋_GB2312"/>
          <w:b/>
          <w:bCs/>
          <w:sz w:val="32"/>
          <w:szCs w:val="32"/>
          <w:lang w:val="en-US" w:eastAsia="zh-CN"/>
        </w:rPr>
        <w:t>3  风险防控</w:t>
      </w:r>
      <w:bookmarkEnd w:id="10"/>
    </w:p>
    <w:p w14:paraId="0DF653B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自然资源局会同住建、水务、交通等部门对易发地质灾害风险区域、风险点进行调查、辨识、评估，制定防控措施，定期开展巡视、监测，按地质灾害防治规划和年度地质灾害防治方案组织开展防治工作。要健全地质灾害防治制度，明确防治责任，建立完善县、乡（镇）、村、矿山企业和住建、水利、交通等相关部门共同参与的地质灾害风险防控体系，严格落实巡查、定点监测制度和风险管控措施，防范化解地质灾害风险。定期组织开展地质灾害疏散应急演练。</w:t>
      </w:r>
    </w:p>
    <w:p w14:paraId="5F1267DE">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1" w:name="_Toc5914"/>
      <w:r>
        <w:rPr>
          <w:rFonts w:hint="eastAsia" w:ascii="仿宋_GB2312" w:hAnsi="仿宋_GB2312" w:eastAsia="仿宋_GB2312" w:cs="仿宋_GB2312"/>
          <w:b/>
          <w:bCs/>
          <w:sz w:val="32"/>
          <w:szCs w:val="32"/>
          <w:lang w:val="en-US" w:eastAsia="zh-CN"/>
        </w:rPr>
        <w:t>3．1  日常防控</w:t>
      </w:r>
      <w:bookmarkEnd w:id="11"/>
    </w:p>
    <w:p w14:paraId="3F2227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自然资源局要指导协调有关部门依法对地质灾害风险点、危险源进行辨识、评估，制定防控措施，定期进行检查、监控。要时刻保持战备状态，针对薄弱环节，切实加以解决；要深入开展地质灾害风险隐患排查治理，建立风险数据库，实施动态监管；要主动对接国家自然灾害防治重点工程，以项目建设带动我县地质灾害防治能力全面提升；要加强科普宣传，增强公众防灾避险意识和自救互救综合素质。乡镇人民政府，依据地质灾害防治规划，每年年初拟订本年度的地质灾害防治方案。年度地质灾害防治方案要标明辖区内主要灾害（隐患）点的分布，说明主要灾害（隐患）点的威胁对象和范围，明确重点防范期，制订具体有效的地质灾害防治措施，确定地质灾害（隐患）的监测人员和预防责任人。县自然资源局对我县已查明的地质灾害危险点、隐患点组织责任单位编制应急预案。</w:t>
      </w:r>
    </w:p>
    <w:p w14:paraId="62236899">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2" w:name="_Toc20792"/>
      <w:r>
        <w:rPr>
          <w:rFonts w:hint="eastAsia" w:ascii="仿宋_GB2312" w:hAnsi="仿宋_GB2312" w:eastAsia="仿宋_GB2312" w:cs="仿宋_GB2312"/>
          <w:b/>
          <w:bCs/>
          <w:sz w:val="32"/>
          <w:szCs w:val="32"/>
          <w:lang w:val="en-US" w:eastAsia="zh-CN"/>
        </w:rPr>
        <w:t>3．2  灾害防控（二次灾害）</w:t>
      </w:r>
      <w:bookmarkEnd w:id="12"/>
    </w:p>
    <w:p w14:paraId="7D9B6C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由地质灾害专家组或专业技术力量根据灾害现场和可能发生的次生灾害制定科学合理的救援方案及安全措施，为救援队伍安全有效开展救援提供安全保障。指挥部办公室负责综合协调，做好地质灾害风险防控工作。</w:t>
      </w:r>
    </w:p>
    <w:p w14:paraId="1DE1EA1F">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3" w:name="_Toc6554"/>
      <w:r>
        <w:rPr>
          <w:rFonts w:hint="eastAsia" w:ascii="仿宋_GB2312" w:hAnsi="仿宋_GB2312" w:eastAsia="仿宋_GB2312" w:cs="仿宋_GB2312"/>
          <w:b/>
          <w:bCs/>
          <w:sz w:val="32"/>
          <w:szCs w:val="32"/>
          <w:lang w:val="en-US" w:eastAsia="zh-CN"/>
        </w:rPr>
        <w:t>4  监测和预警</w:t>
      </w:r>
      <w:bookmarkEnd w:id="13"/>
    </w:p>
    <w:p w14:paraId="3EE7E02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人民政府要加强地质灾害监测系统建设。建立健全县、乡（镇）、村三级地质灾害群测群防网络体系和群专结合的地质灾害防治机制，建立地质灾害防治技术支撑体系，配备监测预警设备，加强专业技能培训。县自然资源局会同住建、水利、交通、气象等部门在受地质灾害威胁严重的人口密集区、公路、铁路干线及矿山等重要工程地段，建立地质、水文、气象监测点，实现监测信息共享，开展综合监测预警工作。监测人员和监测单位发现地质灾害前兆后，要立即向县自然资源局报告，县自然资源局及时研判处置发出预警。</w:t>
      </w:r>
    </w:p>
    <w:p w14:paraId="740061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可能出现由气象原因引发的地质灾害时，由自然资源和气象部门联合发布地质灾害气象风险预警，由低到高分四个级别（各级别含义及预警措施见附件3）。预警级别达到三级（黄色）以上时，自然资源局应向公众发布。</w:t>
      </w:r>
    </w:p>
    <w:p w14:paraId="22CFC53B">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4" w:name="_Toc16177"/>
      <w:r>
        <w:rPr>
          <w:rFonts w:hint="eastAsia" w:ascii="仿宋_GB2312" w:hAnsi="仿宋_GB2312" w:eastAsia="仿宋_GB2312" w:cs="仿宋_GB2312"/>
          <w:b/>
          <w:bCs/>
          <w:sz w:val="32"/>
          <w:szCs w:val="32"/>
          <w:lang w:val="en-US" w:eastAsia="zh-CN"/>
        </w:rPr>
        <w:t>5  应急处置与救援</w:t>
      </w:r>
      <w:bookmarkEnd w:id="14"/>
    </w:p>
    <w:p w14:paraId="0BFAE403">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5" w:name="_Toc26983"/>
      <w:r>
        <w:rPr>
          <w:rFonts w:hint="eastAsia" w:ascii="仿宋_GB2312" w:hAnsi="仿宋_GB2312" w:eastAsia="仿宋_GB2312" w:cs="仿宋_GB2312"/>
          <w:b/>
          <w:bCs/>
          <w:sz w:val="32"/>
          <w:szCs w:val="32"/>
          <w:lang w:val="en-US" w:eastAsia="zh-CN"/>
        </w:rPr>
        <w:t>5．1  信息报送</w:t>
      </w:r>
      <w:bookmarkEnd w:id="15"/>
    </w:p>
    <w:p w14:paraId="380670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发现地质灾害险情和灾情时，监测单位、监测人员及知情单位和知情人应立即向自然资源、应急管理部门（指挥部办公室）和乡镇人民政府报告。</w:t>
      </w:r>
    </w:p>
    <w:p w14:paraId="51CD30D2">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6" w:name="_Toc5187"/>
      <w:r>
        <w:rPr>
          <w:rFonts w:hint="eastAsia" w:ascii="仿宋_GB2312" w:hAnsi="仿宋_GB2312" w:eastAsia="仿宋_GB2312" w:cs="仿宋_GB2312"/>
          <w:b/>
          <w:bCs/>
          <w:sz w:val="32"/>
          <w:szCs w:val="32"/>
          <w:lang w:val="en-US" w:eastAsia="zh-CN"/>
        </w:rPr>
        <w:t>5．2  信息处置</w:t>
      </w:r>
      <w:bookmarkEnd w:id="16"/>
    </w:p>
    <w:p w14:paraId="60BDB4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指挥部办公室接收突发地质灾害灾情信息后，应迅速分析研判、核实，按有关规定及时上报，必要时可以越级上报。</w:t>
      </w:r>
    </w:p>
    <w:p w14:paraId="69D7B95D">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color w:val="auto"/>
          <w:kern w:val="1"/>
          <w:sz w:val="32"/>
          <w:szCs w:val="32"/>
          <w:lang w:val="en-US" w:eastAsia="zh-CN" w:bidi="ar"/>
        </w:rPr>
      </w:pPr>
      <w:r>
        <w:rPr>
          <w:rFonts w:hint="eastAsia" w:ascii="仿宋_GB2312" w:hAnsi="仿宋_GB2312" w:eastAsia="仿宋_GB2312" w:cs="仿宋_GB2312"/>
          <w:b/>
          <w:bCs/>
          <w:color w:val="auto"/>
          <w:kern w:val="1"/>
          <w:sz w:val="32"/>
          <w:szCs w:val="32"/>
          <w:lang w:val="en-US" w:eastAsia="zh-CN" w:bidi="ar"/>
        </w:rPr>
        <w:t>5．2．1  速报内容</w:t>
      </w:r>
    </w:p>
    <w:p w14:paraId="03F85C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灾害速报的内容主要包括：地质灾害险情或灾情出现的时间、地点、地质灾害类型、灾害体的规模、可能的引发因素和发展趋势，可能或已经造成的伤亡、失踪的人数以及直接经济损失等。</w:t>
      </w:r>
    </w:p>
    <w:p w14:paraId="4EDC86BC">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7" w:name="_Toc26602"/>
      <w:r>
        <w:rPr>
          <w:rFonts w:hint="eastAsia" w:ascii="仿宋_GB2312" w:hAnsi="仿宋_GB2312" w:eastAsia="仿宋_GB2312" w:cs="仿宋_GB2312"/>
          <w:b/>
          <w:bCs/>
          <w:sz w:val="32"/>
          <w:szCs w:val="32"/>
          <w:lang w:val="en-US" w:eastAsia="zh-CN"/>
        </w:rPr>
        <w:t>5．3  先期处置</w:t>
      </w:r>
      <w:bookmarkEnd w:id="17"/>
    </w:p>
    <w:p w14:paraId="173FBC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发生地质灾害，县指挥部办公室接到灾害信息后，按照本级预案视情启动应急响应。乡（镇）人民政府和基层群众自治组织，有关责任单位和群众应在第一时间开展临灾避险、自救互救、抢险救援、危险区划定等先期处置工作。同时做好灾情核查、受灾群众生活保障和灾情监测，采取措施保障救援队伍快速开展救援活动。</w:t>
      </w:r>
    </w:p>
    <w:p w14:paraId="03B08F32">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8" w:name="_Toc15925"/>
      <w:r>
        <w:rPr>
          <w:rFonts w:hint="eastAsia" w:ascii="仿宋_GB2312" w:hAnsi="仿宋_GB2312" w:eastAsia="仿宋_GB2312" w:cs="仿宋_GB2312"/>
          <w:b/>
          <w:bCs/>
          <w:sz w:val="32"/>
          <w:szCs w:val="32"/>
          <w:lang w:val="en-US" w:eastAsia="zh-CN"/>
        </w:rPr>
        <w:t>5．4  应急响应</w:t>
      </w:r>
      <w:bookmarkEnd w:id="18"/>
    </w:p>
    <w:p w14:paraId="69558F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县级响应按照灾害分级由低到高设定为四级、三级、二级、一级四个等级。地质灾害发生后，依据响应条件启动相应县级响应（各等级响应条件见附件3）。</w:t>
      </w:r>
    </w:p>
    <w:p w14:paraId="4D233F91">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5．4．1  四级响应</w:t>
      </w:r>
    </w:p>
    <w:p w14:paraId="1A72FB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color w:val="auto"/>
          <w:sz w:val="32"/>
          <w:szCs w:val="32"/>
        </w:rPr>
        <w:t>出现</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地质灾害险情或灾情，</w:t>
      </w:r>
      <w:r>
        <w:rPr>
          <w:rFonts w:hint="eastAsia" w:ascii="仿宋_GB2312" w:hAnsi="仿宋_GB2312" w:eastAsia="仿宋_GB2312" w:cs="仿宋_GB2312"/>
          <w:b w:val="0"/>
          <w:bCs w:val="0"/>
          <w:color w:val="auto"/>
          <w:kern w:val="1"/>
          <w:sz w:val="32"/>
          <w:szCs w:val="32"/>
          <w:lang w:val="en-US" w:eastAsia="zh-CN" w:bidi="ar"/>
        </w:rPr>
        <w:t>符合四级响应条件时，由县指挥部办公室主任向指挥长报告，由指挥长启动四级响应。重点做好以下工作：</w:t>
      </w:r>
    </w:p>
    <w:p w14:paraId="539099C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（1）指挥部办公室通知指挥部领导、成员单位负责人、救援队伍负责人等相关人员立即赶赴现场。</w:t>
      </w:r>
    </w:p>
    <w:p w14:paraId="225675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（2）指挥长到达现场后，应迅速成立现场指挥部及其工作组，开展灾情会商，了解先期救援情况，分析研判灾害形势，研究制定救援方案，指挥各组迅速开展救援。</w:t>
      </w:r>
    </w:p>
    <w:p w14:paraId="5A76EC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（3）指挥部办公室根据现场指挥部要求，请求市指挥部协调增调市级地质灾害紧急救援队伍、消防救援、医疗卫生、地质监测等队伍。</w:t>
      </w:r>
    </w:p>
    <w:p w14:paraId="28B5D52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（4）相关成员单位要进一步做好交通、通信、测绘、电力等保障工作。指挥部办公室做好扩大响应的准备。</w:t>
      </w:r>
    </w:p>
    <w:p w14:paraId="14AAAB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（5）现场指挥部采取有效措施，加强周边地质环境、气象等监测，防止发生次生灾害。</w:t>
      </w:r>
    </w:p>
    <w:p w14:paraId="1A2A8E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（6）现场指挥部及时发布灾情及救援信息，协调媒体强化抢险救灾宣传报道（工作），统一发布灾情、救援等信息；收集分析舆情，召开新闻发布会，做好宣传报道及舆论引导工作。</w:t>
      </w:r>
    </w:p>
    <w:p w14:paraId="5F3D1BE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（7）及时做好疏散和转移安置群众工作。</w:t>
      </w:r>
    </w:p>
    <w:p w14:paraId="0C5411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（8）按照市指挥部办公室指导意见，落实相应工作。</w:t>
      </w:r>
    </w:p>
    <w:p w14:paraId="39CC2E99">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5．4．2  三级响应</w:t>
      </w:r>
    </w:p>
    <w:p w14:paraId="49F9499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27" w:firstLineChars="196"/>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rPr>
        <w:t>出现中型地质灾害险情或灾情，</w:t>
      </w:r>
      <w:r>
        <w:rPr>
          <w:rFonts w:hint="eastAsia" w:ascii="仿宋_GB2312" w:hAnsi="仿宋_GB2312" w:eastAsia="仿宋_GB2312" w:cs="仿宋_GB2312"/>
          <w:b w:val="0"/>
          <w:bCs w:val="0"/>
          <w:color w:val="auto"/>
          <w:kern w:val="1"/>
          <w:sz w:val="32"/>
          <w:szCs w:val="32"/>
          <w:lang w:val="en-US" w:eastAsia="zh-CN" w:bidi="ar"/>
        </w:rPr>
        <w:t>符合三级响应条件时，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应急指挥部接到报告后应立即</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rPr>
        <w:t>市应急指挥部报告，</w:t>
      </w:r>
      <w:r>
        <w:rPr>
          <w:rFonts w:hint="eastAsia" w:ascii="仿宋_GB2312" w:hAnsi="仿宋_GB2312" w:eastAsia="仿宋_GB2312" w:cs="仿宋_GB2312"/>
          <w:color w:val="auto"/>
          <w:sz w:val="32"/>
          <w:szCs w:val="32"/>
          <w:lang w:val="en-US" w:eastAsia="zh-CN"/>
        </w:rPr>
        <w:t>同时立即启动</w:t>
      </w:r>
      <w:r>
        <w:rPr>
          <w:rFonts w:hint="eastAsia" w:ascii="仿宋_GB2312" w:hAnsi="仿宋_GB2312" w:eastAsia="仿宋_GB2312" w:cs="仿宋_GB2312"/>
          <w:color w:val="auto"/>
          <w:sz w:val="32"/>
          <w:szCs w:val="32"/>
          <w:lang w:val="zh-CN" w:eastAsia="zh-CN"/>
        </w:rPr>
        <w:t>县</w:t>
      </w:r>
      <w:r>
        <w:rPr>
          <w:rFonts w:hint="eastAsia" w:ascii="仿宋_GB2312" w:hAnsi="仿宋_GB2312" w:eastAsia="仿宋_GB2312" w:cs="仿宋_GB2312"/>
          <w:color w:val="auto"/>
          <w:sz w:val="32"/>
          <w:szCs w:val="32"/>
        </w:rPr>
        <w:t>人民政府的相关应急防治预案和应急指挥系统</w:t>
      </w:r>
      <w:r>
        <w:rPr>
          <w:rFonts w:hint="eastAsia" w:ascii="仿宋_GB2312" w:hAnsi="仿宋_GB2312" w:eastAsia="仿宋_GB2312" w:cs="仿宋_GB2312"/>
          <w:color w:val="auto"/>
          <w:sz w:val="32"/>
          <w:szCs w:val="32"/>
          <w:lang w:eastAsia="zh-CN"/>
        </w:rPr>
        <w:t>，县应急指挥部</w:t>
      </w:r>
      <w:r>
        <w:rPr>
          <w:rFonts w:hint="eastAsia" w:ascii="仿宋_GB2312" w:hAnsi="仿宋_GB2312" w:eastAsia="仿宋_GB2312" w:cs="仿宋_GB2312"/>
          <w:color w:val="auto"/>
          <w:sz w:val="32"/>
          <w:szCs w:val="32"/>
        </w:rPr>
        <w:t>组织、协调开展各项应急处置工作，采取应急措施。</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指挥部召集各成员单位召开紧急会议，分析、研判灾情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部署抢险救灾工作，及</w:t>
      </w:r>
      <w:r>
        <w:rPr>
          <w:rFonts w:hint="eastAsia" w:ascii="仿宋_GB2312" w:hAnsi="仿宋_GB2312" w:eastAsia="仿宋_GB2312" w:cs="仿宋_GB2312"/>
          <w:color w:val="auto"/>
          <w:kern w:val="0"/>
          <w:sz w:val="32"/>
          <w:szCs w:val="32"/>
          <w:lang w:val="en-US" w:eastAsia="zh-CN" w:bidi="ar"/>
        </w:rPr>
        <w:t>时向</w:t>
      </w:r>
      <w:r>
        <w:rPr>
          <w:rFonts w:hint="eastAsia" w:ascii="仿宋_GB2312" w:hAnsi="仿宋_GB2312" w:eastAsia="仿宋_GB2312" w:cs="仿宋_GB2312"/>
          <w:color w:val="auto"/>
          <w:kern w:val="0"/>
          <w:sz w:val="32"/>
          <w:szCs w:val="32"/>
          <w:lang w:val="zh-CN" w:eastAsia="zh-CN" w:bidi="ar"/>
        </w:rPr>
        <w:t>市</w:t>
      </w:r>
      <w:r>
        <w:rPr>
          <w:rFonts w:hint="eastAsia" w:ascii="仿宋_GB2312" w:hAnsi="仿宋_GB2312" w:eastAsia="仿宋_GB2312" w:cs="仿宋_GB2312"/>
          <w:color w:val="auto"/>
          <w:kern w:val="0"/>
          <w:sz w:val="32"/>
          <w:szCs w:val="32"/>
          <w:lang w:val="en-US" w:eastAsia="zh-CN" w:bidi="ar"/>
        </w:rPr>
        <w:t>政府和市应急指挥部报告灾情和应急处置情况。</w:t>
      </w:r>
    </w:p>
    <w:p w14:paraId="5E1732AB">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应急指挥部接到报告启动三级应急响应后，县应急指挥部应当依照群测群防责任制的规定，立即将有关信息通知地质灾害危险点的防灾责任人、监测人和该区域内的群众，根据实际情况决定是否转移群众，并采取相应的应急措施；及时划定地质灾害危险区，设立明显的危险区警示标志，确定预警信号和撤离路线，组织群众转移避让或采取排险防治措施，根据险情和灾情具体情况提出应急对策，情况危急时应强制组织受威胁群众避灾疏散。县有关部门根据上级部门的指导加强监测，采取应急措施，防止灾害进一步扩大，避免抢险救灾可能造成的二次人员伤亡。</w:t>
      </w:r>
    </w:p>
    <w:p w14:paraId="6AF43C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color w:val="auto"/>
          <w:sz w:val="32"/>
          <w:szCs w:val="32"/>
        </w:rPr>
        <w:t>中型地质灾害险情和灾情的应急防治工作，在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人民政府的领导下，由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应急指挥部具体指挥、协调，组织</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自然</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交通、水利、民政、地震、气象等有关部门的专家和人员，及时赶赴现场，加强监测，采取应急措施，防止灾害进一步扩大，避免抢险救灾可能造成的二次人员伤亡。根据救灾工作需要，当上级指挥部启动应急响应并直接接管指挥处置时，本级指挥部应及时向上级移交指挥权，并根据上级指挥部的指示全力做好应急处置配合工作。</w:t>
      </w:r>
    </w:p>
    <w:p w14:paraId="64A6C7C9">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5．4．3  一、二级响应</w:t>
      </w:r>
    </w:p>
    <w:p w14:paraId="5F4E23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color w:val="auto"/>
          <w:sz w:val="32"/>
          <w:szCs w:val="32"/>
        </w:rPr>
        <w:t>发生特大型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大型地质灾害险情和灾情后，</w:t>
      </w:r>
      <w:r>
        <w:rPr>
          <w:rFonts w:hint="eastAsia" w:ascii="仿宋_GB2312" w:hAnsi="仿宋_GB2312" w:eastAsia="仿宋_GB2312" w:cs="仿宋_GB2312"/>
          <w:b w:val="0"/>
          <w:bCs w:val="0"/>
          <w:color w:val="auto"/>
          <w:kern w:val="1"/>
          <w:sz w:val="32"/>
          <w:szCs w:val="32"/>
          <w:lang w:val="en-US" w:eastAsia="zh-CN" w:bidi="ar"/>
        </w:rPr>
        <w:t>符合一、二级响应条件时，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人民政府应当</w:t>
      </w:r>
      <w:r>
        <w:rPr>
          <w:rFonts w:hint="eastAsia" w:ascii="仿宋_GB2312" w:hAnsi="仿宋_GB2312" w:eastAsia="仿宋_GB2312" w:cs="仿宋_GB2312"/>
          <w:color w:val="auto"/>
          <w:sz w:val="32"/>
          <w:szCs w:val="32"/>
          <w:lang w:eastAsia="zh-CN"/>
        </w:rPr>
        <w:t>立即向</w:t>
      </w:r>
      <w:r>
        <w:rPr>
          <w:rFonts w:hint="eastAsia" w:ascii="仿宋_GB2312" w:hAnsi="仿宋_GB2312" w:eastAsia="仿宋_GB2312" w:cs="仿宋_GB2312"/>
          <w:color w:val="auto"/>
          <w:sz w:val="32"/>
          <w:szCs w:val="32"/>
        </w:rPr>
        <w:t>市应急指挥部报告</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迅速做好前期应急处置工作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1"/>
          <w:sz w:val="32"/>
          <w:szCs w:val="32"/>
          <w:lang w:val="en-US" w:eastAsia="zh-CN" w:bidi="ar"/>
        </w:rPr>
        <w:t>落实市工作组指导意见。</w:t>
      </w:r>
    </w:p>
    <w:p w14:paraId="4905752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27" w:firstLineChars="19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应急指挥部接到报告后启动</w:t>
      </w:r>
      <w:r>
        <w:rPr>
          <w:rFonts w:hint="eastAsia" w:ascii="仿宋_GB2312" w:hAnsi="仿宋_GB2312" w:eastAsia="仿宋_GB2312" w:cs="仿宋_GB2312"/>
          <w:color w:val="auto"/>
          <w:sz w:val="32"/>
          <w:szCs w:val="32"/>
          <w:lang w:eastAsia="zh-CN"/>
        </w:rPr>
        <w:t>一、二</w:t>
      </w:r>
      <w:r>
        <w:rPr>
          <w:rFonts w:hint="eastAsia" w:ascii="仿宋_GB2312" w:hAnsi="仿宋_GB2312" w:eastAsia="仿宋_GB2312" w:cs="仿宋_GB2312"/>
          <w:color w:val="auto"/>
          <w:sz w:val="32"/>
          <w:szCs w:val="32"/>
        </w:rPr>
        <w:t>级应急响应</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eastAsia="zh-CN"/>
        </w:rPr>
        <w:t>县应急指挥部</w:t>
      </w:r>
      <w:r>
        <w:rPr>
          <w:rFonts w:hint="eastAsia" w:ascii="仿宋_GB2312" w:hAnsi="仿宋_GB2312" w:eastAsia="仿宋_GB2312" w:cs="仿宋_GB2312"/>
          <w:color w:val="auto"/>
          <w:sz w:val="32"/>
          <w:szCs w:val="32"/>
        </w:rPr>
        <w:t>根据上级指挥部的指示全力做好应急处置配合工作</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有关部门</w:t>
      </w:r>
      <w:r>
        <w:rPr>
          <w:rFonts w:hint="eastAsia" w:ascii="仿宋_GB2312" w:hAnsi="仿宋_GB2312" w:eastAsia="仿宋_GB2312" w:cs="仿宋_GB2312"/>
          <w:color w:val="auto"/>
          <w:sz w:val="32"/>
          <w:szCs w:val="32"/>
          <w:lang w:eastAsia="zh-CN"/>
        </w:rPr>
        <w:t>根据上级部门的指导</w:t>
      </w:r>
      <w:r>
        <w:rPr>
          <w:rFonts w:hint="eastAsia" w:ascii="仿宋_GB2312" w:hAnsi="仿宋_GB2312" w:eastAsia="仿宋_GB2312" w:cs="仿宋_GB2312"/>
          <w:color w:val="auto"/>
          <w:sz w:val="32"/>
          <w:szCs w:val="32"/>
        </w:rPr>
        <w:t>加强监测，采取应急措施，防止灾害进一步扩大，避免抢险救灾可能造成的二次人员伤亡。</w:t>
      </w:r>
    </w:p>
    <w:p w14:paraId="7DA93A6D">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9" w:name="_Toc7620"/>
      <w:r>
        <w:rPr>
          <w:rFonts w:hint="eastAsia" w:ascii="仿宋_GB2312" w:hAnsi="仿宋_GB2312" w:eastAsia="仿宋_GB2312" w:cs="仿宋_GB2312"/>
          <w:b/>
          <w:bCs/>
          <w:sz w:val="32"/>
          <w:szCs w:val="32"/>
          <w:lang w:val="en-US" w:eastAsia="zh-CN"/>
        </w:rPr>
        <w:t>5．5  响应调整</w:t>
      </w:r>
      <w:bookmarkEnd w:id="19"/>
    </w:p>
    <w:p w14:paraId="0A609A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县指挥部或县指挥部办公室依据灾情变化，结合实际调整响应级别。</w:t>
      </w:r>
    </w:p>
    <w:p w14:paraId="6802710B">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0" w:name="_Toc5430"/>
      <w:r>
        <w:rPr>
          <w:rFonts w:hint="eastAsia" w:ascii="仿宋_GB2312" w:hAnsi="仿宋_GB2312" w:eastAsia="仿宋_GB2312" w:cs="仿宋_GB2312"/>
          <w:b/>
          <w:bCs/>
          <w:sz w:val="32"/>
          <w:szCs w:val="32"/>
          <w:lang w:val="en-US" w:eastAsia="zh-CN"/>
        </w:rPr>
        <w:t>5．6  响应结束</w:t>
      </w:r>
      <w:bookmarkEnd w:id="20"/>
    </w:p>
    <w:p w14:paraId="7932A2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救援结束，险情得到控制，一、二、三级响应由市现场指挥部指挥长宣布响应结束；四级响应由县指挥部指挥长宣布结束。</w:t>
      </w:r>
    </w:p>
    <w:p w14:paraId="53ADE7E0">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1" w:name="_Toc29749"/>
      <w:r>
        <w:rPr>
          <w:rFonts w:hint="eastAsia" w:ascii="仿宋_GB2312" w:hAnsi="仿宋_GB2312" w:eastAsia="仿宋_GB2312" w:cs="仿宋_GB2312"/>
          <w:b/>
          <w:bCs/>
          <w:sz w:val="32"/>
          <w:szCs w:val="32"/>
          <w:lang w:val="en-US" w:eastAsia="zh-CN"/>
        </w:rPr>
        <w:t>6  后期处置</w:t>
      </w:r>
      <w:bookmarkEnd w:id="21"/>
    </w:p>
    <w:p w14:paraId="472A761F">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2" w:name="_Toc12326"/>
      <w:r>
        <w:rPr>
          <w:rFonts w:hint="eastAsia" w:ascii="仿宋_GB2312" w:hAnsi="仿宋_GB2312" w:eastAsia="仿宋_GB2312" w:cs="仿宋_GB2312"/>
          <w:b/>
          <w:bCs/>
          <w:sz w:val="32"/>
          <w:szCs w:val="32"/>
          <w:lang w:val="en-US" w:eastAsia="zh-CN"/>
        </w:rPr>
        <w:t>6．1  调查评估</w:t>
      </w:r>
      <w:bookmarkEnd w:id="22"/>
    </w:p>
    <w:p w14:paraId="475F1C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应急管理部门依据有关规定，组织有关部门组成调查评估组开展地质灾害调查评估，调查评估报告报县人民政府。评估报告内容包括灾害发生经过、灾害类型和规模、灾害成因、应急响应、人员伤亡、灾情损失、经验教训、改进措施等。</w:t>
      </w:r>
    </w:p>
    <w:p w14:paraId="40826146">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3" w:name="_Toc14004"/>
      <w:r>
        <w:rPr>
          <w:rFonts w:hint="eastAsia" w:ascii="仿宋_GB2312" w:hAnsi="仿宋_GB2312" w:eastAsia="仿宋_GB2312" w:cs="仿宋_GB2312"/>
          <w:b/>
          <w:bCs/>
          <w:sz w:val="32"/>
          <w:szCs w:val="32"/>
          <w:lang w:val="en-US" w:eastAsia="zh-CN"/>
        </w:rPr>
        <w:t>6．2  资金保障</w:t>
      </w:r>
      <w:bookmarkEnd w:id="23"/>
    </w:p>
    <w:p w14:paraId="24FDCF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县人民政府按照分级负责的原则对救援过程中的救援费用予以保障。县财政局负责及时支付启动县级响应时经县指挥部调用发生的抢险救援、紧急医学救援、调查评估等费用。</w:t>
      </w:r>
    </w:p>
    <w:p w14:paraId="21419BDD">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4" w:name="_Toc25686"/>
      <w:r>
        <w:rPr>
          <w:rFonts w:hint="eastAsia" w:ascii="仿宋_GB2312" w:hAnsi="仿宋_GB2312" w:eastAsia="仿宋_GB2312" w:cs="仿宋_GB2312"/>
          <w:b/>
          <w:bCs/>
          <w:sz w:val="32"/>
          <w:szCs w:val="32"/>
          <w:lang w:val="en-US" w:eastAsia="zh-CN"/>
        </w:rPr>
        <w:t>6．3  工作总结</w:t>
      </w:r>
      <w:bookmarkEnd w:id="24"/>
    </w:p>
    <w:p w14:paraId="553876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应急救援工作结束后，指挥部要对本次地质灾害应急响应过程中的协调指挥、组织实施、预案执行等情况进行总结并按规定上报。参加抢险救援的各有关单位认真总结抢险救灾工作，及时以书面形式报县指挥部办公室。</w:t>
      </w:r>
    </w:p>
    <w:p w14:paraId="174892A1">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5" w:name="_Toc1598"/>
      <w:r>
        <w:rPr>
          <w:rFonts w:hint="eastAsia" w:ascii="仿宋_GB2312" w:hAnsi="仿宋_GB2312" w:eastAsia="仿宋_GB2312" w:cs="仿宋_GB2312"/>
          <w:b/>
          <w:bCs/>
          <w:sz w:val="32"/>
          <w:szCs w:val="32"/>
          <w:lang w:val="en-US" w:eastAsia="zh-CN"/>
        </w:rPr>
        <w:t>7  恢复与重建</w:t>
      </w:r>
      <w:bookmarkEnd w:id="25"/>
    </w:p>
    <w:p w14:paraId="2332B21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灾后恢复重建工作由县人民政府负责。县人民政府统筹规划、安排受灾地区的重建工作，并报上一级人民政府。</w:t>
      </w:r>
      <w:r>
        <w:rPr>
          <w:rFonts w:hint="eastAsia" w:ascii="仿宋_GB2312" w:hAnsi="仿宋_GB2312" w:eastAsia="仿宋_GB2312" w:cs="仿宋_GB2312"/>
          <w:color w:val="auto"/>
          <w:sz w:val="32"/>
          <w:szCs w:val="32"/>
        </w:rPr>
        <w:t>发生特大型、大型地质灾害后，应争取</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有关部门给予必要的经费补助和物资支持，同时积极争取</w:t>
      </w:r>
      <w:r>
        <w:rPr>
          <w:rFonts w:hint="eastAsia" w:ascii="仿宋_GB2312" w:hAnsi="仿宋_GB2312" w:eastAsia="仿宋_GB2312" w:cs="仿宋_GB2312"/>
          <w:color w:val="auto"/>
          <w:sz w:val="32"/>
          <w:szCs w:val="32"/>
          <w:lang w:eastAsia="zh-CN"/>
        </w:rPr>
        <w:t>省政府和省有关部门、</w:t>
      </w:r>
      <w:r>
        <w:rPr>
          <w:rFonts w:hint="eastAsia" w:ascii="仿宋_GB2312" w:hAnsi="仿宋_GB2312" w:eastAsia="仿宋_GB2312" w:cs="仿宋_GB2312"/>
          <w:color w:val="auto"/>
          <w:sz w:val="32"/>
          <w:szCs w:val="32"/>
        </w:rPr>
        <w:t>国务院和国家有关部门的相关支持。</w:t>
      </w:r>
    </w:p>
    <w:p w14:paraId="1F3900CE">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6" w:name="_Toc5137"/>
      <w:r>
        <w:rPr>
          <w:rFonts w:hint="eastAsia" w:ascii="仿宋_GB2312" w:hAnsi="仿宋_GB2312" w:eastAsia="仿宋_GB2312" w:cs="仿宋_GB2312"/>
          <w:b/>
          <w:bCs/>
          <w:sz w:val="32"/>
          <w:szCs w:val="32"/>
          <w:lang w:val="en-US" w:eastAsia="zh-CN"/>
        </w:rPr>
        <w:t>8  应急保障</w:t>
      </w:r>
      <w:bookmarkEnd w:id="26"/>
    </w:p>
    <w:p w14:paraId="25C8D39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7" w:name="_Toc29733"/>
      <w:r>
        <w:rPr>
          <w:rFonts w:hint="eastAsia" w:ascii="仿宋_GB2312" w:hAnsi="仿宋_GB2312" w:eastAsia="仿宋_GB2312" w:cs="仿宋_GB2312"/>
          <w:b/>
          <w:bCs/>
          <w:sz w:val="32"/>
          <w:szCs w:val="32"/>
          <w:lang w:val="en-US" w:eastAsia="zh-CN"/>
        </w:rPr>
        <w:t>8．1  应急队伍建设</w:t>
      </w:r>
      <w:bookmarkEnd w:id="27"/>
    </w:p>
    <w:p w14:paraId="20951D0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有关部门和单位要在县政府的领导下，加强地质灾害专业应急防治与救灾队伍建设，确保灾害发生后应急防治与救灾力量及时到位。对专业应急防治与救灾队伍、武警部队、乡镇、村（居）、社区应急救援志愿者组织等，平时灾害点所在地的乡镇政府，要针对性地开展应急防治与救灾演练，提高应急防治与救灾能力。</w:t>
      </w:r>
    </w:p>
    <w:p w14:paraId="71022103">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8" w:name="_Toc19119"/>
      <w:r>
        <w:rPr>
          <w:rFonts w:hint="eastAsia" w:ascii="仿宋_GB2312" w:hAnsi="仿宋_GB2312" w:eastAsia="仿宋_GB2312" w:cs="仿宋_GB2312"/>
          <w:b/>
          <w:bCs/>
          <w:sz w:val="32"/>
          <w:szCs w:val="32"/>
          <w:lang w:val="en-US" w:eastAsia="zh-CN"/>
        </w:rPr>
        <w:t>8．2  应急物资</w:t>
      </w:r>
      <w:bookmarkEnd w:id="28"/>
    </w:p>
    <w:p w14:paraId="1F7F67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县有关部门和单位要储备用于灾民安置、医疗卫生、生活必需等必要的抢险救灾专用物资，购置并储备用于救灾、应急监测、调查、会商和通信等设备，保证抢险救灾物资的供应。</w:t>
      </w:r>
    </w:p>
    <w:p w14:paraId="54D6C1B3">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9" w:name="_Toc26735"/>
      <w:r>
        <w:rPr>
          <w:rFonts w:hint="eastAsia" w:ascii="仿宋_GB2312" w:hAnsi="仿宋_GB2312" w:eastAsia="仿宋_GB2312" w:cs="仿宋_GB2312"/>
          <w:b/>
          <w:bCs/>
          <w:sz w:val="32"/>
          <w:szCs w:val="32"/>
          <w:lang w:val="en-US" w:eastAsia="zh-CN"/>
        </w:rPr>
        <w:t>8．3  通信保障</w:t>
      </w:r>
      <w:bookmarkEnd w:id="29"/>
    </w:p>
    <w:p w14:paraId="31AC4D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有关部门和单位要加强地质灾害监测、预报、预警信息系统建设，充分利用现代通信手段，将有线电话、卫星电话、移动手机、无线电台及互联网等多种形式有机结合，建立覆盖全县的地质灾害应急防治信息网，实现各部门间的信息共享；联系方式发生变化的，应及时报县指挥部办公室予以变更；确保应急抢险救灾通信畅通。</w:t>
      </w:r>
    </w:p>
    <w:p w14:paraId="0CF593A8">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0" w:name="_Toc23043"/>
      <w:r>
        <w:rPr>
          <w:rFonts w:hint="eastAsia" w:ascii="仿宋_GB2312" w:hAnsi="仿宋_GB2312" w:eastAsia="仿宋_GB2312" w:cs="仿宋_GB2312"/>
          <w:b/>
          <w:bCs/>
          <w:sz w:val="32"/>
          <w:szCs w:val="32"/>
          <w:lang w:val="en-US" w:eastAsia="zh-CN"/>
        </w:rPr>
        <w:t>8．4  应急技术保障</w:t>
      </w:r>
      <w:bookmarkEnd w:id="30"/>
    </w:p>
    <w:p w14:paraId="759106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由县自然资源局牵头，建立县地质灾害应急防治技术资料库和专家组。可聘请省内专业地勘队伍，依托有关专业技术队伍，组建多形式、多层次的地质灾害应急防治专家组，为区域地质灾害应急防治和应急工作提供技术支撑和咨询服务。</w:t>
      </w:r>
    </w:p>
    <w:p w14:paraId="460474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应急管理、自然资源、科技、气象等部门要开展地质灾害应急防治与救灾方法、技术的研究，开展应急调查、应急评估、地质灾害趋势预测、地质灾害气象风险预警技术、地质灾害治理技术的研究和开发；各部门要积极争取资金，加大对地质灾害预报预警科学研究、技术开发的支持力度。</w:t>
      </w:r>
    </w:p>
    <w:p w14:paraId="372D8759">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1" w:name="_Toc22526"/>
      <w:r>
        <w:rPr>
          <w:rFonts w:hint="eastAsia" w:ascii="仿宋_GB2312" w:hAnsi="仿宋_GB2312" w:eastAsia="仿宋_GB2312" w:cs="仿宋_GB2312"/>
          <w:b/>
          <w:bCs/>
          <w:sz w:val="32"/>
          <w:szCs w:val="32"/>
          <w:lang w:val="en-US" w:eastAsia="zh-CN"/>
        </w:rPr>
        <w:t>8．5  监督检查</w:t>
      </w:r>
      <w:bookmarkEnd w:id="31"/>
    </w:p>
    <w:p w14:paraId="322250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应急管理局、县自然资源局要会同应急指挥部有关部门，对上述各项地质灾害应急防治保障工作进行有效的督导检查，及时总结地质灾害应急防治实践的经验教训。县人民政府应组织各有关部门、单位负责落实相关责任。</w:t>
      </w:r>
    </w:p>
    <w:p w14:paraId="0745B529">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2" w:name="_Toc3162"/>
      <w:r>
        <w:rPr>
          <w:rFonts w:hint="eastAsia" w:ascii="仿宋_GB2312" w:hAnsi="仿宋_GB2312" w:eastAsia="仿宋_GB2312" w:cs="仿宋_GB2312"/>
          <w:b/>
          <w:bCs/>
          <w:sz w:val="32"/>
          <w:szCs w:val="32"/>
          <w:lang w:val="en-US" w:eastAsia="zh-CN"/>
        </w:rPr>
        <w:t>9  附则</w:t>
      </w:r>
      <w:bookmarkEnd w:id="32"/>
    </w:p>
    <w:p w14:paraId="6BF05797">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3" w:name="_Toc12563"/>
      <w:r>
        <w:rPr>
          <w:rFonts w:hint="eastAsia" w:ascii="仿宋_GB2312" w:hAnsi="仿宋_GB2312" w:eastAsia="仿宋_GB2312" w:cs="仿宋_GB2312"/>
          <w:b/>
          <w:bCs/>
          <w:sz w:val="32"/>
          <w:szCs w:val="32"/>
          <w:lang w:val="en-US" w:eastAsia="zh-CN"/>
        </w:rPr>
        <w:t>9．1  宣传、培训与演练</w:t>
      </w:r>
      <w:bookmarkEnd w:id="33"/>
    </w:p>
    <w:p w14:paraId="6F1B82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指挥部各成员单位应按照本预案要求制定部门预案或应急响应手册。县自然资源、应急管理部门，要加强地质灾害防治知识的宣传、教育和培训，县有关部门要组织基层负责人、施工工地负责人、中小学校负责人、骨干群众、专（兼）职监测人等进行地质灾害防治宣传培训；同时要采取多种形式，利用各种媒体，在全社会尤其是地质灾害多发区及易发区广泛宣传地质灾害防治法律、法规，宣传地质灾害防灾、减灾、避险、自救、互救知识，加强对在校中小学生的教育，不断增强社会公众防范、应对地质灾害的意识和能力；各矿山企业、涉及地质灾害的建设工程单位每年至少开展一次突发地质灾害应急综合演练，各乡镇每年汛期前组织各地质灾害隐患点受威胁群众进行一次突发性地质灾害应急逃生演练，增强公众的防灾意识和自救互救能力。</w:t>
      </w:r>
    </w:p>
    <w:p w14:paraId="7088423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各有关部门的工作人员要加强学习，利用多种形式进行培训，不断提高处置地质灾害的综合能力和协调能力。各部门参与处置地质灾害的工作人员要不断提高抢险救灾信息处理的效率协助参与指挥的能力，努力做到业务精通、工作踏实、反应迅速、认真细致，确保机构高效运转。</w:t>
      </w:r>
    </w:p>
    <w:p w14:paraId="4798BF92">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4" w:name="_Toc22383"/>
      <w:r>
        <w:rPr>
          <w:rFonts w:hint="eastAsia" w:ascii="仿宋_GB2312" w:hAnsi="仿宋_GB2312" w:eastAsia="仿宋_GB2312" w:cs="仿宋_GB2312"/>
          <w:b/>
          <w:bCs/>
          <w:sz w:val="32"/>
          <w:szCs w:val="32"/>
          <w:lang w:val="en-US" w:eastAsia="zh-CN"/>
        </w:rPr>
        <w:t>9．2  预案管理与更新</w:t>
      </w:r>
      <w:bookmarkEnd w:id="34"/>
    </w:p>
    <w:p w14:paraId="53E230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县指挥部成员单位应当参照《浑源县突发地质灾害应急预案》，编制本单位配套的突发地质灾害应急预案或工作方案，经县人民政府批准后实施。</w:t>
      </w:r>
    </w:p>
    <w:p w14:paraId="1E9E3774">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5" w:name="_Toc22775"/>
      <w:r>
        <w:rPr>
          <w:rFonts w:hint="eastAsia" w:ascii="仿宋_GB2312" w:hAnsi="仿宋_GB2312" w:eastAsia="仿宋_GB2312" w:cs="仿宋_GB2312"/>
          <w:b/>
          <w:bCs/>
          <w:sz w:val="32"/>
          <w:szCs w:val="32"/>
          <w:lang w:val="en-US" w:eastAsia="zh-CN"/>
        </w:rPr>
        <w:t>9．3  责任与奖惩</w:t>
      </w:r>
      <w:bookmarkEnd w:id="35"/>
    </w:p>
    <w:p w14:paraId="260A14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县人民政府应对在突发地质灾害应急工作中，作出突出贡献的单位和个人，按照国务院《地质灾害防治条例》《山西省地质灾害防治条例》等相关规定给予表彰和奖励。</w:t>
      </w:r>
    </w:p>
    <w:p w14:paraId="4716A8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对引发突发地质灾害的相关单位和个人的责任追究，按照《地质灾害防治条例》《山西省地质灾害防治条例》相关规定处理；对突发地质灾害应急处置中迟报、瞒报情况及失职、渎职的有关人员按国家有关法律、法规追究责任。</w:t>
      </w:r>
    </w:p>
    <w:p w14:paraId="40EA529C">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6" w:name="_Toc8188"/>
      <w:r>
        <w:rPr>
          <w:rFonts w:hint="eastAsia" w:ascii="仿宋_GB2312" w:hAnsi="仿宋_GB2312" w:eastAsia="仿宋_GB2312" w:cs="仿宋_GB2312"/>
          <w:b/>
          <w:bCs/>
          <w:sz w:val="32"/>
          <w:szCs w:val="32"/>
          <w:lang w:val="en-US" w:eastAsia="zh-CN"/>
        </w:rPr>
        <w:t>9．4  实施时间</w:t>
      </w:r>
      <w:bookmarkEnd w:id="36"/>
    </w:p>
    <w:p w14:paraId="3C223B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本预案自发布之日起实施。</w:t>
      </w:r>
    </w:p>
    <w:p w14:paraId="5C039C31">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7" w:name="_Toc11205"/>
      <w:r>
        <w:rPr>
          <w:rFonts w:hint="eastAsia" w:ascii="仿宋_GB2312" w:hAnsi="仿宋_GB2312" w:eastAsia="仿宋_GB2312" w:cs="仿宋_GB2312"/>
          <w:b/>
          <w:bCs/>
          <w:sz w:val="32"/>
          <w:szCs w:val="32"/>
          <w:lang w:val="en-US" w:eastAsia="zh-CN"/>
        </w:rPr>
        <w:t>9．5  预案解释</w:t>
      </w:r>
      <w:bookmarkEnd w:id="37"/>
    </w:p>
    <w:p w14:paraId="455A8A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本预案由县应急局负责解释。</w:t>
      </w:r>
    </w:p>
    <w:p w14:paraId="6C7EBE7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color w:val="auto"/>
          <w:sz w:val="32"/>
          <w:szCs w:val="32"/>
        </w:rPr>
      </w:pPr>
    </w:p>
    <w:p w14:paraId="43BED183">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仿宋_GB2312" w:hAnsi="仿宋_GB2312" w:eastAsia="仿宋_GB2312" w:cs="仿宋_GB2312"/>
          <w:color w:val="auto"/>
          <w:sz w:val="32"/>
          <w:szCs w:val="32"/>
        </w:rPr>
      </w:pPr>
    </w:p>
    <w:p w14:paraId="5A453D22">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30765B7B">
      <w:pPr>
        <w:pStyle w:val="2"/>
        <w:rPr>
          <w:rFonts w:hint="eastAsia"/>
        </w:rPr>
      </w:pPr>
    </w:p>
    <w:p w14:paraId="5BD2E8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附件：1.县级地质灾害应急响应流程图</w:t>
      </w:r>
    </w:p>
    <w:p w14:paraId="46BE59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2.浑源县地质灾害应急指挥机构及职责</w:t>
      </w:r>
    </w:p>
    <w:p w14:paraId="5FF73A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3.地质灾害气象风险预警级别及预警措施</w:t>
      </w:r>
    </w:p>
    <w:p w14:paraId="610ACC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4.地质灾害灾（险）情分级及对应响应等级</w:t>
      </w:r>
    </w:p>
    <w:p w14:paraId="2DBED3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5.浑源县装备采购清单</w:t>
      </w:r>
    </w:p>
    <w:p w14:paraId="3F2B36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outlineLvl w:val="9"/>
        <w:rPr>
          <w:rFonts w:hint="default"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6.浑源县应急局应急物资库存清单</w:t>
      </w:r>
    </w:p>
    <w:p w14:paraId="33E9F5A5">
      <w:pPr>
        <w:rPr>
          <w:rFonts w:hint="default"/>
          <w:lang w:val="en-US" w:eastAsia="zh-CN"/>
        </w:rPr>
      </w:pPr>
    </w:p>
    <w:p w14:paraId="35316E08">
      <w:pPr>
        <w:rPr>
          <w:rFonts w:ascii="黑体" w:hAnsi="黑体" w:eastAsia="黑体" w:cs="黑体"/>
          <w:color w:val="auto"/>
          <w:spacing w:val="-4"/>
          <w:sz w:val="31"/>
          <w:szCs w:val="31"/>
        </w:rPr>
      </w:pPr>
      <w:r>
        <w:rPr>
          <w:rFonts w:ascii="黑体" w:hAnsi="黑体" w:eastAsia="黑体" w:cs="黑体"/>
          <w:color w:val="auto"/>
          <w:spacing w:val="-4"/>
          <w:sz w:val="31"/>
          <w:szCs w:val="31"/>
        </w:rPr>
        <w:br w:type="page"/>
      </w:r>
    </w:p>
    <w:p w14:paraId="199543C6">
      <w:pPr>
        <w:pStyle w:val="2"/>
      </w:pPr>
    </w:p>
    <w:p w14:paraId="5D60B621">
      <w:pPr>
        <w:shd w:val="clear"/>
        <w:spacing w:before="101" w:line="230" w:lineRule="auto"/>
        <w:rPr>
          <w:rFonts w:ascii="Arial"/>
          <w:color w:val="auto"/>
          <w:sz w:val="21"/>
        </w:rPr>
      </w:pPr>
      <w:r>
        <w:rPr>
          <w:rFonts w:ascii="黑体" w:hAnsi="黑体" w:eastAsia="黑体" w:cs="黑体"/>
          <w:color w:val="auto"/>
          <w:spacing w:val="-4"/>
          <w:sz w:val="31"/>
          <w:szCs w:val="31"/>
        </w:rPr>
        <w:t>附件</w:t>
      </w:r>
      <w:r>
        <w:rPr>
          <w:rFonts w:ascii="黑体" w:hAnsi="黑体" w:eastAsia="黑体" w:cs="黑体"/>
          <w:color w:val="auto"/>
          <w:spacing w:val="-45"/>
          <w:sz w:val="31"/>
          <w:szCs w:val="31"/>
        </w:rPr>
        <w:t xml:space="preserve"> </w:t>
      </w:r>
      <w:r>
        <w:rPr>
          <w:rFonts w:ascii="黑体" w:hAnsi="黑体" w:eastAsia="黑体" w:cs="黑体"/>
          <w:color w:val="auto"/>
          <w:spacing w:val="-4"/>
          <w:sz w:val="31"/>
          <w:szCs w:val="31"/>
        </w:rPr>
        <w:t>1</w:t>
      </w:r>
    </w:p>
    <w:p w14:paraId="612E9F86">
      <w:pPr>
        <w:shd w:val="clear"/>
        <w:spacing w:before="140" w:line="225" w:lineRule="auto"/>
        <w:jc w:val="center"/>
        <w:outlineLvl w:val="0"/>
        <w:rPr>
          <w:rFonts w:ascii="黑体" w:hAnsi="黑体" w:eastAsia="黑体" w:cs="黑体"/>
          <w:color w:val="auto"/>
          <w:sz w:val="43"/>
          <w:szCs w:val="43"/>
        </w:rPr>
      </w:pPr>
      <w:bookmarkStart w:id="38" w:name="_Toc3265"/>
      <w:bookmarkStart w:id="39" w:name="_Toc23247"/>
      <w:r>
        <w:rPr>
          <w:rFonts w:hint="eastAsia" w:ascii="黑体" w:hAnsi="黑体" w:eastAsia="黑体" w:cs="黑体"/>
          <w:color w:val="auto"/>
          <w:spacing w:val="15"/>
          <w:sz w:val="43"/>
          <w:szCs w:val="43"/>
          <w:lang w:eastAsia="zh-CN"/>
        </w:rPr>
        <w:t>县</w:t>
      </w:r>
      <w:r>
        <w:rPr>
          <w:rFonts w:ascii="黑体" w:hAnsi="黑体" w:eastAsia="黑体" w:cs="黑体"/>
          <w:color w:val="auto"/>
          <w:spacing w:val="15"/>
          <w:sz w:val="43"/>
          <w:szCs w:val="43"/>
        </w:rPr>
        <w:t>级地质灾害应急响应流程图</w:t>
      </w:r>
      <w:bookmarkEnd w:id="38"/>
      <w:bookmarkEnd w:id="39"/>
    </w:p>
    <w:p w14:paraId="054FA19F">
      <w:pPr>
        <w:shd w:val="clear"/>
        <w:rPr>
          <w:color w:val="auto"/>
        </w:rPr>
      </w:pPr>
    </w:p>
    <w:p w14:paraId="26B1D6B0">
      <w:pPr>
        <w:shd w:val="clear"/>
        <w:bidi w:val="0"/>
        <w:rPr>
          <w:rFonts w:asciiTheme="minorHAnsi" w:hAnsiTheme="minorHAnsi" w:eastAsiaTheme="minorEastAsia" w:cstheme="minorBidi"/>
          <w:color w:val="auto"/>
          <w:kern w:val="2"/>
          <w:sz w:val="21"/>
          <w:szCs w:val="24"/>
          <w:lang w:val="en-US" w:eastAsia="zh-CN" w:bidi="ar-SA"/>
        </w:rPr>
      </w:pPr>
    </w:p>
    <w:p w14:paraId="382F3E8B">
      <w:pPr>
        <w:shd w:val="clear"/>
        <w:bidi w:val="0"/>
        <w:rPr>
          <w:color w:val="auto"/>
          <w:lang w:val="en-US" w:eastAsia="zh-CN"/>
        </w:rPr>
      </w:pPr>
    </w:p>
    <w:p w14:paraId="32D3F6B9">
      <w:pPr>
        <w:shd w:val="clear"/>
        <w:bidi w:val="0"/>
        <w:rPr>
          <w:color w:val="auto"/>
          <w:lang w:val="en-US" w:eastAsia="zh-CN"/>
        </w:rPr>
      </w:pPr>
      <w:r>
        <w:rPr>
          <w:color w:val="auto"/>
          <w:sz w:val="21"/>
        </w:rPr>
        <mc:AlternateContent>
          <mc:Choice Requires="wpg">
            <w:drawing>
              <wp:anchor distT="0" distB="0" distL="114300" distR="114300" simplePos="0" relativeHeight="251659264" behindDoc="0" locked="0" layoutInCell="1" allowOverlap="1">
                <wp:simplePos x="0" y="0"/>
                <wp:positionH relativeFrom="column">
                  <wp:posOffset>91440</wp:posOffset>
                </wp:positionH>
                <wp:positionV relativeFrom="paragraph">
                  <wp:posOffset>75565</wp:posOffset>
                </wp:positionV>
                <wp:extent cx="5189855" cy="5427345"/>
                <wp:effectExtent l="5080" t="4445" r="17145" b="8890"/>
                <wp:wrapNone/>
                <wp:docPr id="69" name="组合 69"/>
                <wp:cNvGraphicFramePr/>
                <a:graphic xmlns:a="http://schemas.openxmlformats.org/drawingml/2006/main">
                  <a:graphicData uri="http://schemas.microsoft.com/office/word/2010/wordprocessingGroup">
                    <wpg:wgp>
                      <wpg:cNvGrpSpPr/>
                      <wpg:grpSpPr>
                        <a:xfrm>
                          <a:off x="0" y="0"/>
                          <a:ext cx="5189855" cy="5427345"/>
                          <a:chOff x="4141" y="311564"/>
                          <a:chExt cx="8173" cy="8547"/>
                        </a:xfrm>
                      </wpg:grpSpPr>
                      <wps:wsp>
                        <wps:cNvPr id="2" name="文本框 2"/>
                        <wps:cNvSpPr txBox="1"/>
                        <wps:spPr>
                          <a:xfrm>
                            <a:off x="7534" y="311564"/>
                            <a:ext cx="1404" cy="4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60CDE4">
                              <w:pPr>
                                <w:jc w:val="center"/>
                                <w:rPr>
                                  <w:rFonts w:hint="eastAsia" w:eastAsiaTheme="minorEastAsia"/>
                                  <w:b/>
                                  <w:bCs/>
                                  <w:lang w:eastAsia="zh-CN"/>
                                </w:rPr>
                              </w:pPr>
                              <w:r>
                                <w:rPr>
                                  <w:rFonts w:hint="eastAsia" w:ascii="方正楷体_GBK" w:hAnsi="方正楷体_GBK" w:eastAsia="方正楷体_GBK" w:cs="方正楷体_GBK"/>
                                  <w:b/>
                                  <w:bCs/>
                                  <w:lang w:eastAsia="zh-CN"/>
                                </w:rPr>
                                <w:t>灾害信息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7534" y="312456"/>
                            <a:ext cx="1371" cy="7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4CA0F1">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信息接收与处理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4141" y="312762"/>
                            <a:ext cx="1552" cy="6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31E259">
                              <w:pPr>
                                <w:jc w:val="center"/>
                                <w:rPr>
                                  <w:rFonts w:hint="eastAsia" w:ascii="方正楷体_GBK" w:hAnsi="方正楷体_GBK" w:eastAsia="方正楷体_GBK" w:cs="方正楷体_GBK"/>
                                  <w:b/>
                                  <w:bCs/>
                                  <w:sz w:val="24"/>
                                  <w:szCs w:val="32"/>
                                  <w:lang w:eastAsia="zh-CN"/>
                                </w:rPr>
                              </w:pPr>
                              <w:r>
                                <w:rPr>
                                  <w:rFonts w:hint="eastAsia" w:ascii="方正楷体_GBK" w:hAnsi="方正楷体_GBK" w:eastAsia="方正楷体_GBK" w:cs="方正楷体_GBK"/>
                                  <w:b/>
                                  <w:bCs/>
                                  <w:sz w:val="24"/>
                                  <w:szCs w:val="32"/>
                                  <w:lang w:eastAsia="zh-CN"/>
                                </w:rPr>
                                <w:t>四级响应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4165" y="317417"/>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67997B">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采取响应措施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7498" y="314886"/>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BD5032">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现场指挥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7401" y="313596"/>
                            <a:ext cx="1959" cy="4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31EACC">
                              <w:pPr>
                                <w:rPr>
                                  <w:rFonts w:hint="eastAsia" w:eastAsiaTheme="minorEastAsia"/>
                                  <w:lang w:eastAsia="zh-CN"/>
                                </w:rPr>
                              </w:pPr>
                              <w:r>
                                <w:rPr>
                                  <w:rFonts w:hint="eastAsia" w:ascii="方正楷体_GBK" w:hAnsi="方正楷体_GBK" w:eastAsia="方正楷体_GBK" w:cs="方正楷体_GBK"/>
                                  <w:b/>
                                  <w:bCs/>
                                  <w:lang w:eastAsia="zh-CN"/>
                                </w:rPr>
                                <w:t>一、二、三级响应</w:t>
                              </w:r>
                              <w:r>
                                <w:rPr>
                                  <w:rFonts w:hint="eastAsia"/>
                                  <w:lang w:eastAsia="zh-CN"/>
                                </w:rPr>
                                <w:t>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上箭头 9"/>
                        <wps:cNvSpPr/>
                        <wps:spPr>
                          <a:xfrm>
                            <a:off x="8014" y="312046"/>
                            <a:ext cx="428" cy="343"/>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下箭头 10"/>
                        <wps:cNvSpPr/>
                        <wps:spPr>
                          <a:xfrm>
                            <a:off x="8014" y="313211"/>
                            <a:ext cx="471" cy="364"/>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7567" y="318818"/>
                            <a:ext cx="1575" cy="4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FC90C5">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响应结束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0528" y="313954"/>
                            <a:ext cx="1575" cy="4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A8F84D">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综合组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0728" y="312869"/>
                            <a:ext cx="1586" cy="7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B0843A">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指挥部领导和专家赶赴现场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0509" y="314493"/>
                            <a:ext cx="157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92681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抢险救援组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7545" y="319706"/>
                            <a:ext cx="157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9B84A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恢复重建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7432" y="316004"/>
                            <a:ext cx="1596" cy="4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55234C">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抢险救援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7504" y="317312"/>
                            <a:ext cx="1575" cy="7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3DEC3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救援结束险情得到控制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0535" y="315043"/>
                            <a:ext cx="1575" cy="4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6576C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技术组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10530" y="315571"/>
                            <a:ext cx="1575" cy="4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2B7EB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通信保障组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0513" y="316690"/>
                            <a:ext cx="1575" cy="4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7EB6D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人员安置组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0524" y="316105"/>
                            <a:ext cx="1779"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35FE3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涉险人员核查组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0513" y="317266"/>
                            <a:ext cx="157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98810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0564" y="317796"/>
                            <a:ext cx="1575" cy="4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6A9D21">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医学救护组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0538" y="318377"/>
                            <a:ext cx="1575" cy="4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80C9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社会稳定组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0532" y="318988"/>
                            <a:ext cx="1575" cy="4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81404B">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宣传报道组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直接箭头连接符 27"/>
                        <wps:cNvCnPr/>
                        <wps:spPr>
                          <a:xfrm flipH="1" flipV="1">
                            <a:off x="5828" y="312936"/>
                            <a:ext cx="1618" cy="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肘形连接符 28"/>
                        <wps:cNvCnPr/>
                        <wps:spPr>
                          <a:xfrm>
                            <a:off x="5721" y="313225"/>
                            <a:ext cx="1626" cy="586"/>
                          </a:xfrm>
                          <a:prstGeom prst="bentConnector3">
                            <a:avLst>
                              <a:gd name="adj1" fmla="val 5006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9" name="直接箭头连接符 29"/>
                        <wps:cNvCnPr>
                          <a:stCxn id="4" idx="2"/>
                          <a:endCxn id="5" idx="0"/>
                        </wps:cNvCnPr>
                        <wps:spPr>
                          <a:xfrm>
                            <a:off x="4917" y="313394"/>
                            <a:ext cx="36" cy="402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0" name="肘形连接符 30"/>
                        <wps:cNvCnPr/>
                        <wps:spPr>
                          <a:xfrm rot="5400000" flipV="1">
                            <a:off x="5582" y="317204"/>
                            <a:ext cx="1225" cy="2482"/>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1" name="肘形连接符 31"/>
                        <wps:cNvCnPr/>
                        <wps:spPr>
                          <a:xfrm flipV="1">
                            <a:off x="9370" y="313222"/>
                            <a:ext cx="1368" cy="578"/>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3" name="直接连接符 33"/>
                        <wps:cNvCnPr/>
                        <wps:spPr>
                          <a:xfrm>
                            <a:off x="9738" y="314185"/>
                            <a:ext cx="22" cy="5036"/>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接箭头连接符 44"/>
                        <wps:cNvCnPr>
                          <a:stCxn id="16" idx="3"/>
                        </wps:cNvCnPr>
                        <wps:spPr>
                          <a:xfrm>
                            <a:off x="9028" y="316213"/>
                            <a:ext cx="687" cy="12"/>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 name="直接连接符 47"/>
                        <wps:cNvCnPr/>
                        <wps:spPr>
                          <a:xfrm>
                            <a:off x="9739" y="314168"/>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48" name="直接连接符 48"/>
                        <wps:cNvCnPr/>
                        <wps:spPr>
                          <a:xfrm>
                            <a:off x="9732" y="314708"/>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接连接符 49"/>
                        <wps:cNvCnPr/>
                        <wps:spPr>
                          <a:xfrm>
                            <a:off x="9743" y="315233"/>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0" name="直接连接符 50"/>
                        <wps:cNvCnPr/>
                        <wps:spPr>
                          <a:xfrm>
                            <a:off x="9732" y="315758"/>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接连接符 51"/>
                        <wps:cNvCnPr/>
                        <wps:spPr>
                          <a:xfrm>
                            <a:off x="9726" y="316352"/>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直接连接符 52"/>
                        <wps:cNvCnPr/>
                        <wps:spPr>
                          <a:xfrm>
                            <a:off x="9730" y="316881"/>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3" name="直接连接符 53"/>
                        <wps:cNvCnPr/>
                        <wps:spPr>
                          <a:xfrm>
                            <a:off x="9724" y="317453"/>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7" name="直接连接符 57"/>
                        <wps:cNvCnPr/>
                        <wps:spPr>
                          <a:xfrm>
                            <a:off x="9749" y="318595"/>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接连接符 58"/>
                        <wps:cNvCnPr/>
                        <wps:spPr>
                          <a:xfrm>
                            <a:off x="9735" y="319231"/>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接连接符 59"/>
                        <wps:cNvCnPr/>
                        <wps:spPr>
                          <a:xfrm>
                            <a:off x="9771" y="317993"/>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接箭头连接符 61"/>
                        <wps:cNvCnPr/>
                        <wps:spPr>
                          <a:xfrm>
                            <a:off x="8196" y="315374"/>
                            <a:ext cx="0" cy="57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直接箭头连接符 64"/>
                        <wps:cNvCnPr/>
                        <wps:spPr>
                          <a:xfrm>
                            <a:off x="8211" y="318138"/>
                            <a:ext cx="1" cy="6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6" name="直接箭头连接符 66"/>
                        <wps:cNvCnPr/>
                        <wps:spPr>
                          <a:xfrm flipH="1">
                            <a:off x="8184" y="316469"/>
                            <a:ext cx="1" cy="80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7" name="直接箭头连接符 67"/>
                        <wps:cNvCnPr/>
                        <wps:spPr>
                          <a:xfrm>
                            <a:off x="8218" y="319304"/>
                            <a:ext cx="10" cy="42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flipH="1">
                            <a:off x="8196" y="314071"/>
                            <a:ext cx="11" cy="78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7.2pt;margin-top:5.95pt;height:427.35pt;width:408.65pt;z-index:251659264;mso-width-relative:page;mso-height-relative:page;" coordorigin="4141,311564" coordsize="8173,8547" o:gfxdata="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">
                <o:lock v:ext="edit" aspectratio="f"/>
                <v:shape id="_x0000_s1026" o:spid="_x0000_s1026" o:spt="202" type="#_x0000_t202" style="position:absolute;left:7534;top:311564;height:451;width:1404;"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D60CDE4">
                        <w:pPr>
                          <w:jc w:val="center"/>
                          <w:rPr>
                            <w:rFonts w:hint="eastAsia" w:eastAsiaTheme="minorEastAsia"/>
                            <w:b/>
                            <w:bCs/>
                            <w:lang w:eastAsia="zh-CN"/>
                          </w:rPr>
                        </w:pPr>
                        <w:r>
                          <w:rPr>
                            <w:rFonts w:hint="eastAsia" w:ascii="方正楷体_GBK" w:hAnsi="方正楷体_GBK" w:eastAsia="方正楷体_GBK" w:cs="方正楷体_GBK"/>
                            <w:b/>
                            <w:bCs/>
                            <w:lang w:eastAsia="zh-CN"/>
                          </w:rPr>
                          <w:t>灾害信息</w:t>
                        </w:r>
                      </w:p>
                    </w:txbxContent>
                  </v:textbox>
                </v:shape>
                <v:shape id="_x0000_s1026" o:spid="_x0000_s1026" o:spt="202" type="#_x0000_t202" style="position:absolute;left:7534;top:312456;height:739;width:1371;"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24CA0F1">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信息接收与处理</w:t>
                        </w:r>
                      </w:p>
                    </w:txbxContent>
                  </v:textbox>
                </v:shape>
                <v:shape id="_x0000_s1026" o:spid="_x0000_s1026" o:spt="202" type="#_x0000_t202" style="position:absolute;left:4141;top:312762;height:632;width:155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F31E259">
                        <w:pPr>
                          <w:jc w:val="center"/>
                          <w:rPr>
                            <w:rFonts w:hint="eastAsia" w:ascii="方正楷体_GBK" w:hAnsi="方正楷体_GBK" w:eastAsia="方正楷体_GBK" w:cs="方正楷体_GBK"/>
                            <w:b/>
                            <w:bCs/>
                            <w:sz w:val="24"/>
                            <w:szCs w:val="32"/>
                            <w:lang w:eastAsia="zh-CN"/>
                          </w:rPr>
                        </w:pPr>
                        <w:r>
                          <w:rPr>
                            <w:rFonts w:hint="eastAsia" w:ascii="方正楷体_GBK" w:hAnsi="方正楷体_GBK" w:eastAsia="方正楷体_GBK" w:cs="方正楷体_GBK"/>
                            <w:b/>
                            <w:bCs/>
                            <w:sz w:val="24"/>
                            <w:szCs w:val="32"/>
                            <w:lang w:eastAsia="zh-CN"/>
                          </w:rPr>
                          <w:t>四级响应</w:t>
                        </w:r>
                      </w:p>
                    </w:txbxContent>
                  </v:textbox>
                </v:shape>
                <v:shape id="_x0000_s1026" o:spid="_x0000_s1026" o:spt="202" type="#_x0000_t202" style="position:absolute;left:4165;top:317417;height:396;width:1575;"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C67997B">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采取响应措施</w:t>
                        </w:r>
                      </w:p>
                    </w:txbxContent>
                  </v:textbox>
                </v:shape>
                <v:shape id="_x0000_s1026" o:spid="_x0000_s1026" o:spt="202" type="#_x0000_t202" style="position:absolute;left:7498;top:314886;height:396;width:1575;"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ABD5032">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现场指挥</w:t>
                        </w:r>
                      </w:p>
                    </w:txbxContent>
                  </v:textbox>
                </v:shape>
                <v:shape id="_x0000_s1026" o:spid="_x0000_s1026" o:spt="202" type="#_x0000_t202" style="position:absolute;left:7401;top:313596;height:407;width:1959;"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931EACC">
                        <w:pPr>
                          <w:rPr>
                            <w:rFonts w:hint="eastAsia" w:eastAsiaTheme="minorEastAsia"/>
                            <w:lang w:eastAsia="zh-CN"/>
                          </w:rPr>
                        </w:pPr>
                        <w:r>
                          <w:rPr>
                            <w:rFonts w:hint="eastAsia" w:ascii="方正楷体_GBK" w:hAnsi="方正楷体_GBK" w:eastAsia="方正楷体_GBK" w:cs="方正楷体_GBK"/>
                            <w:b/>
                            <w:bCs/>
                            <w:lang w:eastAsia="zh-CN"/>
                          </w:rPr>
                          <w:t>一、二、三级响应</w:t>
                        </w:r>
                        <w:r>
                          <w:rPr>
                            <w:rFonts w:hint="eastAsia"/>
                            <w:lang w:eastAsia="zh-CN"/>
                          </w:rPr>
                          <w:t>响应</w:t>
                        </w:r>
                      </w:p>
                    </w:txbxContent>
                  </v:textbox>
                </v:shape>
                <v:shape id="_x0000_s1026" o:spid="_x0000_s1026" o:spt="68" type="#_x0000_t68" style="position:absolute;left:8014;top:312046;height:343;width:428;v-text-anchor:middle;" fillcolor="#FFFFFF [3212]" filled="t" stroked="t" coordsize="21600,21600" o:gfxdata="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5i/W8AAAA&#10;2gAAAA8AAAAAAAAAAQAgAAAAIgAAAGRycy9kb3ducmV2LnhtbFBLAQIUABQAAAAIAIdO4kAzLwWe&#10;OwAAADkAAAAQAAAAAAAAAAEAIAAAAAsBAABkcnMvc2hhcGV4bWwueG1sUEsFBgAAAAAGAAYAWwEA&#10;ALUDAAAAAA==&#10;" adj="10800,5400">
                  <v:fill on="t" focussize="0,0"/>
                  <v:stroke weight="1pt" color="#000000 [3213]" miterlimit="8" joinstyle="miter"/>
                  <v:imagedata o:title=""/>
                  <o:lock v:ext="edit" aspectratio="f"/>
                </v:shape>
                <v:shape id="_x0000_s1026" o:spid="_x0000_s1026" o:spt="67" type="#_x0000_t67" style="position:absolute;left:8014;top:313211;height:364;width:471;v-text-anchor:middle;" fillcolor="#FFFFFF [3212]" filled="t" stroked="t" coordsize="21600,21600" o:gfxdata="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UFgCvQAA&#10;ANsAAAAPAAAAAAAAAAEAIAAAACIAAABkcnMvZG93bnJldi54bWxQSwECFAAUAAAACACHTuJAMy8F&#10;njsAAAA5AAAAEAAAAAAAAAABACAAAAAMAQAAZHJzL3NoYXBleG1sLnhtbFBLBQYAAAAABgAGAFsB&#10;AAC2AwAAAAA=&#10;" adj="10800,5400">
                  <v:fill on="t" focussize="0,0"/>
                  <v:stroke weight="1pt" color="#000000 [3213]" miterlimit="8" joinstyle="miter"/>
                  <v:imagedata o:title=""/>
                  <o:lock v:ext="edit" aspectratio="f"/>
                </v:shape>
                <v:shape id="_x0000_s1026" o:spid="_x0000_s1026" o:spt="202" type="#_x0000_t202" style="position:absolute;left:7567;top:318818;height:444;width:1575;"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64FC90C5">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响应结束</w:t>
                        </w:r>
                      </w:p>
                    </w:txbxContent>
                  </v:textbox>
                </v:shape>
                <v:shape id="_x0000_s1026" o:spid="_x0000_s1026" o:spt="202" type="#_x0000_t202" style="position:absolute;left:10528;top:313954;height:432;width:1575;"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55A8F84D">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综合组</w:t>
                        </w:r>
                      </w:p>
                    </w:txbxContent>
                  </v:textbox>
                </v:shape>
                <v:shape id="_x0000_s1026" o:spid="_x0000_s1026" o:spt="202" type="#_x0000_t202" style="position:absolute;left:10728;top:312869;height:706;width:1586;"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0B0843A">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指挥部领导和专家赶赴现场</w:t>
                        </w:r>
                      </w:p>
                    </w:txbxContent>
                  </v:textbox>
                </v:shape>
                <v:shape id="_x0000_s1026" o:spid="_x0000_s1026" o:spt="202" type="#_x0000_t202" style="position:absolute;left:10509;top:314493;height:420;width:1575;"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92681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抢险救援组</w:t>
                        </w:r>
                      </w:p>
                    </w:txbxContent>
                  </v:textbox>
                </v:shape>
                <v:shape id="_x0000_s1026" o:spid="_x0000_s1026" o:spt="202" type="#_x0000_t202" style="position:absolute;left:7545;top:319706;height:405;width:1575;"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09B84A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恢复重建</w:t>
                        </w:r>
                      </w:p>
                    </w:txbxContent>
                  </v:textbox>
                </v:shape>
                <v:shape id="_x0000_s1026" o:spid="_x0000_s1026" o:spt="202" type="#_x0000_t202" style="position:absolute;left:7432;top:316004;height:418;width:1596;"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2655234C">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抢险救援</w:t>
                        </w:r>
                      </w:p>
                    </w:txbxContent>
                  </v:textbox>
                </v:shape>
                <v:shape id="_x0000_s1026" o:spid="_x0000_s1026" o:spt="202" type="#_x0000_t202" style="position:absolute;left:7504;top:317312;height:737;width:1575;"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33DEC3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救援结束险情得到控制</w:t>
                        </w:r>
                      </w:p>
                    </w:txbxContent>
                  </v:textbox>
                </v:shape>
                <v:shape id="_x0000_s1026" o:spid="_x0000_s1026" o:spt="202" type="#_x0000_t202" style="position:absolute;left:10535;top:315043;height:432;width:1575;"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626576C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技术组</w:t>
                        </w:r>
                      </w:p>
                    </w:txbxContent>
                  </v:textbox>
                </v:shape>
                <v:shape id="_x0000_s1026" o:spid="_x0000_s1026" o:spt="202" type="#_x0000_t202" style="position:absolute;left:10530;top:315571;height:456;width:1575;"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82B7EB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通信保障组</w:t>
                        </w:r>
                      </w:p>
                    </w:txbxContent>
                  </v:textbox>
                </v:shape>
                <v:shape id="_x0000_s1026" o:spid="_x0000_s1026" o:spt="202" type="#_x0000_t202" style="position:absolute;left:10513;top:316690;height:444;width:1575;"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5F7EB6D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人员安置组</w:t>
                        </w:r>
                      </w:p>
                    </w:txbxContent>
                  </v:textbox>
                </v:shape>
                <v:shape id="_x0000_s1026" o:spid="_x0000_s1026" o:spt="202" type="#_x0000_t202" style="position:absolute;left:10524;top:316105;height:420;width:1779;" fillcolor="#FFFFFF [3201]" filled="t" stroked="t" coordsize="21600,21600" o:gfxdata="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3U7QC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935FE3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涉险人员核查组</w:t>
                        </w:r>
                      </w:p>
                    </w:txbxContent>
                  </v:textbox>
                </v:shape>
                <v:shape id="_x0000_s1026" o:spid="_x0000_s1026" o:spt="202" type="#_x0000_t202" style="position:absolute;left:10513;top:317266;height:420;width:1575;"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298810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后勤保障组</w:t>
                        </w:r>
                      </w:p>
                    </w:txbxContent>
                  </v:textbox>
                </v:shape>
                <v:shape id="_x0000_s1026" o:spid="_x0000_s1026" o:spt="202" type="#_x0000_t202" style="position:absolute;left:10564;top:317796;height:432;width:1575;" fillcolor="#FFFFFF [3201]"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46A9D21">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医学救护组</w:t>
                        </w:r>
                      </w:p>
                    </w:txbxContent>
                  </v:textbox>
                </v:shape>
                <v:shape id="_x0000_s1026" o:spid="_x0000_s1026" o:spt="202" type="#_x0000_t202" style="position:absolute;left:10538;top:318377;height:432;width:1575;"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01F80C9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社会稳定组</w:t>
                        </w:r>
                      </w:p>
                    </w:txbxContent>
                  </v:textbox>
                </v:shape>
                <v:shape id="_x0000_s1026" o:spid="_x0000_s1026" o:spt="202" type="#_x0000_t202" style="position:absolute;left:10532;top:318988;height:432;width:157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5981404B">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宣传报道组</w:t>
                        </w:r>
                      </w:p>
                    </w:txbxContent>
                  </v:textbox>
                </v:shape>
                <v:shape id="_x0000_s1026" o:spid="_x0000_s1026" o:spt="32" type="#_x0000_t32" style="position:absolute;left:5828;top:312936;flip:x y;height:10;width:1618;" filled="f" stroked="t" coordsize="21600,21600" o:gfxdata="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qtIb4A&#10;AADbAAAADwAAAAAAAAABACAAAAAiAAAAZHJzL2Rvd25yZXYueG1sUEsBAhQAFAAAAAgAh07iQDMv&#10;BZ47AAAAOQAAABAAAAAAAAAAAQAgAAAADQEAAGRycy9zaGFwZXhtbC54bWxQSwUGAAAAAAYABgBb&#10;AQAAtwMAAAAA&#10;">
                  <v:fill on="f" focussize="0,0"/>
                  <v:stroke weight="1pt" color="#000000 [3200]" miterlimit="8" joinstyle="miter" endarrow="open"/>
                  <v:imagedata o:title=""/>
                  <o:lock v:ext="edit" aspectratio="f"/>
                </v:shape>
                <v:shape id="_x0000_s1026" o:spid="_x0000_s1026" o:spt="34" type="#_x0000_t34" style="position:absolute;left:5721;top:313225;height:586;width:1626;" filled="f" stroked="t" coordsize="21600,21600" o:gfxdata="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ssWuC2AAAA2wAAAA8A&#10;AAAAAAAAAQAgAAAAIgAAAGRycy9kb3ducmV2LnhtbFBLAQIUABQAAAAIAIdO4kAzLwWeOwAAADkA&#10;AAAQAAAAAAAAAAEAIAAAAAUBAABkcnMvc2hhcGV4bWwueG1sUEsFBgAAAAAGAAYAWwEAAK8DAAAA&#10;AA==&#10;" adj="10813">
                  <v:fill on="f" focussize="0,0"/>
                  <v:stroke weight="1pt" color="#000000 [3200]" miterlimit="8" joinstyle="miter" startarrow="open" endarrow="open"/>
                  <v:imagedata o:title=""/>
                  <o:lock v:ext="edit" aspectratio="f"/>
                </v:shape>
                <v:shape id="_x0000_s1026" o:spid="_x0000_s1026" o:spt="32" type="#_x0000_t32" style="position:absolute;left:4917;top:313394;height:4023;width:36;" filled="f" stroked="t" coordsize="21600,21600" o:gfxdata="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5P3i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3" type="#_x0000_t33" style="position:absolute;left:5582;top:317204;flip:y;height:2482;width:1225;rotation:-5898240f;" filled="f" stroked="t" coordsize="21600,21600" o:gfxdata="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RfYQ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4" type="#_x0000_t34" style="position:absolute;left:9370;top:313222;flip:y;height:578;width:1368;" filled="f" stroked="t" coordsize="21600,21600" o:gfxdata="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tWEb4A&#10;AADbAAAADwAAAAAAAAABACAAAAAiAAAAZHJzL2Rvd25yZXYueG1sUEsBAhQAFAAAAAgAh07iQDMv&#10;BZ47AAAAOQAAABAAAAAAAAAAAQAgAAAADQEAAGRycy9zaGFwZXhtbC54bWxQSwUGAAAAAAYABgBb&#10;AQAAtwMAAAAA&#10;" adj="10800">
                  <v:fill on="f" focussize="0,0"/>
                  <v:stroke weight="1pt" color="#000000 [3200]" miterlimit="8" joinstyle="miter" endarrow="open"/>
                  <v:imagedata o:title=""/>
                  <o:lock v:ext="edit" aspectratio="f"/>
                </v:shape>
                <v:line id="_x0000_s1026" o:spid="_x0000_s1026" o:spt="20" style="position:absolute;left:9738;top:314185;height:5036;width:22;" filled="f" stroked="t" coordsize="21600,21600" o:gfxdata="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Ktm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shape id="_x0000_s1026" o:spid="_x0000_s1026" o:spt="32" type="#_x0000_t32" style="position:absolute;left:9028;top:316213;height:12;width:687;" filled="f" stroked="t" coordsize="21600,21600" o:gfxdata="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1R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line id="_x0000_s1026" o:spid="_x0000_s1026" o:spt="20" style="position:absolute;left:9739;top:314168;height:9;width:780;" filled="f" stroked="t" coordsize="21600,21600" o:gfxdata="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Y5r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_x0000_s1026" o:spid="_x0000_s1026" o:spt="20" style="position:absolute;left:9732;top:314708;height:9;width:780;" filled="f" stroked="t" coordsize="21600,21600" o:gfxdata="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YEyU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_x0000_s1026" o:spid="_x0000_s1026" o:spt="20" style="position:absolute;left:9743;top:315233;height:9;width:780;" filled="f" stroked="t" coordsize="21600,21600" o:gfxdata="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s6Q+/&#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9732;top:315758;height:9;width:780;" filled="f" stroked="t" coordsize="21600,21600" o:gfxdata="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P1k+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line id="_x0000_s1026" o:spid="_x0000_s1026" o:spt="20" style="position:absolute;left:9726;top:316352;height:9;width:780;" filled="f" stroked="t" coordsize="21600,21600" o:gfxdata="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4Nz1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_x0000_s1026" o:spid="_x0000_s1026" o:spt="20" style="position:absolute;left:9730;top:316881;height:9;width:780;" filled="f" stroked="t" coordsize="21600,21600" o:gfxdata="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R7aO/&#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9724;top:317453;height:9;width:780;" filled="f" stroked="t" coordsize="21600,21600" o:gfxdata="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1IO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_x0000_s1026" o:spid="_x0000_s1026" o:spt="20" style="position:absolute;left:9749;top:318595;height:9;width:780;" filled="f" stroked="t" coordsize="21600,21600" o:gfxdata="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mTju/&#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9735;top:319231;height:9;width:780;" filled="f" stroked="t" coordsize="21600,21600" o:gfxdata="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2km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line id="_x0000_s1026" o:spid="_x0000_s1026" o:spt="20" style="position:absolute;left:9771;top:317993;height:9;width:780;" filled="f" stroked="t" coordsize="21600,21600" o:gfxdata="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1f9K/&#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shape id="_x0000_s1026" o:spid="_x0000_s1026" o:spt="32" type="#_x0000_t32" style="position:absolute;left:8196;top:315374;height:578;width:0;" filled="f" stroked="t" coordsize="21600,21600" o:gfxdata="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WKv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32" type="#_x0000_t32" style="position:absolute;left:8211;top:318138;height:619;width:1;" filled="f" stroked="t" coordsize="21600,21600" o:gfxdata="UEsDBAoAAAAAAIdO4kAAAAAAAAAAAAAAAAAEAAAAZHJzL1BLAwQUAAAACACHTuJAs9IpJroAAADb&#10;AAAADwAAAGRycy9kb3ducmV2LnhtbEWPT4vCMBTE7wt+h/AEb2uqiC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0ikm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8184;top:316469;flip:x;height:804;width:1;" filled="f" stroked="t" coordsize="21600,21600" o:gfxdata="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vBSW/&#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8218;top:319304;height:429;width:10;" filled="f" stroked="t" coordsize="21600,21600" o:gfxdata="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C3Ub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32" type="#_x0000_t32" style="position:absolute;left:8196;top:314071;flip:x;height:783;width:11;" filled="f" stroked="t" coordsize="21600,21600" o:gfxdata="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0zL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group>
            </w:pict>
          </mc:Fallback>
        </mc:AlternateContent>
      </w:r>
    </w:p>
    <w:p w14:paraId="6E9A534E">
      <w:pPr>
        <w:shd w:val="clear"/>
        <w:bidi w:val="0"/>
        <w:rPr>
          <w:color w:val="auto"/>
          <w:lang w:val="en-US" w:eastAsia="zh-CN"/>
        </w:rPr>
      </w:pPr>
    </w:p>
    <w:p w14:paraId="2B604135">
      <w:pPr>
        <w:shd w:val="clear"/>
        <w:bidi w:val="0"/>
        <w:rPr>
          <w:color w:val="auto"/>
          <w:lang w:val="en-US" w:eastAsia="zh-CN"/>
        </w:rPr>
      </w:pPr>
    </w:p>
    <w:p w14:paraId="0CB2D5AB">
      <w:pPr>
        <w:shd w:val="clear"/>
        <w:bidi w:val="0"/>
        <w:rPr>
          <w:color w:val="auto"/>
          <w:lang w:val="en-US" w:eastAsia="zh-CN"/>
        </w:rPr>
      </w:pPr>
    </w:p>
    <w:p w14:paraId="73ABF306">
      <w:pPr>
        <w:shd w:val="clear"/>
        <w:bidi w:val="0"/>
        <w:rPr>
          <w:color w:val="auto"/>
          <w:lang w:val="en-US" w:eastAsia="zh-CN"/>
        </w:rPr>
      </w:pPr>
    </w:p>
    <w:p w14:paraId="3330F4BB">
      <w:pPr>
        <w:shd w:val="clear"/>
        <w:bidi w:val="0"/>
        <w:rPr>
          <w:color w:val="auto"/>
          <w:lang w:val="en-US" w:eastAsia="zh-CN"/>
        </w:rPr>
      </w:pPr>
    </w:p>
    <w:p w14:paraId="075B311B">
      <w:pPr>
        <w:shd w:val="clear"/>
        <w:bidi w:val="0"/>
        <w:rPr>
          <w:color w:val="auto"/>
          <w:lang w:val="en-US" w:eastAsia="zh-CN"/>
        </w:rPr>
      </w:pPr>
    </w:p>
    <w:p w14:paraId="75CB421E">
      <w:pPr>
        <w:shd w:val="clear"/>
        <w:bidi w:val="0"/>
        <w:rPr>
          <w:color w:val="auto"/>
          <w:lang w:val="en-US" w:eastAsia="zh-CN"/>
        </w:rPr>
      </w:pPr>
    </w:p>
    <w:p w14:paraId="7E5B3F9D">
      <w:pPr>
        <w:shd w:val="clear"/>
        <w:bidi w:val="0"/>
        <w:rPr>
          <w:color w:val="auto"/>
          <w:lang w:val="en-US" w:eastAsia="zh-CN"/>
        </w:rPr>
      </w:pPr>
    </w:p>
    <w:p w14:paraId="69B5E290">
      <w:pPr>
        <w:shd w:val="clear"/>
        <w:bidi w:val="0"/>
        <w:rPr>
          <w:color w:val="auto"/>
          <w:lang w:val="en-US" w:eastAsia="zh-CN"/>
        </w:rPr>
      </w:pPr>
    </w:p>
    <w:p w14:paraId="3F12BEE6">
      <w:pPr>
        <w:shd w:val="clear"/>
        <w:bidi w:val="0"/>
        <w:rPr>
          <w:color w:val="auto"/>
          <w:lang w:val="en-US" w:eastAsia="zh-CN"/>
        </w:rPr>
      </w:pPr>
    </w:p>
    <w:p w14:paraId="092A97EA">
      <w:pPr>
        <w:shd w:val="clear"/>
        <w:bidi w:val="0"/>
        <w:rPr>
          <w:color w:val="auto"/>
          <w:lang w:val="en-US" w:eastAsia="zh-CN"/>
        </w:rPr>
      </w:pPr>
    </w:p>
    <w:p w14:paraId="619BCD8E">
      <w:pPr>
        <w:shd w:val="clear"/>
        <w:bidi w:val="0"/>
        <w:rPr>
          <w:color w:val="auto"/>
          <w:lang w:val="en-US" w:eastAsia="zh-CN"/>
        </w:rPr>
      </w:pPr>
    </w:p>
    <w:p w14:paraId="621363CF">
      <w:pPr>
        <w:shd w:val="clear"/>
        <w:bidi w:val="0"/>
        <w:rPr>
          <w:color w:val="auto"/>
          <w:lang w:val="en-US" w:eastAsia="zh-CN"/>
        </w:rPr>
      </w:pPr>
    </w:p>
    <w:p w14:paraId="5D0D2CA2">
      <w:pPr>
        <w:shd w:val="clear"/>
        <w:bidi w:val="0"/>
        <w:rPr>
          <w:color w:val="auto"/>
          <w:lang w:val="en-US" w:eastAsia="zh-CN"/>
        </w:rPr>
      </w:pPr>
    </w:p>
    <w:p w14:paraId="50D3DA18">
      <w:pPr>
        <w:shd w:val="clear"/>
        <w:bidi w:val="0"/>
        <w:rPr>
          <w:color w:val="auto"/>
          <w:lang w:val="en-US" w:eastAsia="zh-CN"/>
        </w:rPr>
      </w:pPr>
    </w:p>
    <w:p w14:paraId="0AAB7E55">
      <w:pPr>
        <w:shd w:val="clear"/>
        <w:bidi w:val="0"/>
        <w:rPr>
          <w:color w:val="auto"/>
          <w:lang w:val="en-US" w:eastAsia="zh-CN"/>
        </w:rPr>
      </w:pPr>
    </w:p>
    <w:p w14:paraId="154B4409">
      <w:pPr>
        <w:shd w:val="clear"/>
        <w:bidi w:val="0"/>
        <w:rPr>
          <w:color w:val="auto"/>
          <w:lang w:val="en-US" w:eastAsia="zh-CN"/>
        </w:rPr>
      </w:pPr>
    </w:p>
    <w:p w14:paraId="4EDA8FF6">
      <w:pPr>
        <w:shd w:val="clear"/>
        <w:bidi w:val="0"/>
        <w:rPr>
          <w:color w:val="auto"/>
          <w:lang w:val="en-US" w:eastAsia="zh-CN"/>
        </w:rPr>
      </w:pPr>
    </w:p>
    <w:p w14:paraId="7EA68CD5">
      <w:pPr>
        <w:shd w:val="clear"/>
        <w:bidi w:val="0"/>
        <w:rPr>
          <w:color w:val="auto"/>
          <w:lang w:val="en-US" w:eastAsia="zh-CN"/>
        </w:rPr>
      </w:pPr>
    </w:p>
    <w:p w14:paraId="33632049">
      <w:pPr>
        <w:shd w:val="clear"/>
        <w:bidi w:val="0"/>
        <w:rPr>
          <w:color w:val="auto"/>
          <w:lang w:val="en-US" w:eastAsia="zh-CN"/>
        </w:rPr>
      </w:pPr>
    </w:p>
    <w:p w14:paraId="0DA2B108">
      <w:pPr>
        <w:shd w:val="clear"/>
        <w:bidi w:val="0"/>
        <w:rPr>
          <w:color w:val="auto"/>
          <w:lang w:val="en-US" w:eastAsia="zh-CN"/>
        </w:rPr>
      </w:pPr>
    </w:p>
    <w:p w14:paraId="017C5EDC">
      <w:pPr>
        <w:shd w:val="clear"/>
        <w:bidi w:val="0"/>
        <w:rPr>
          <w:color w:val="auto"/>
          <w:lang w:val="en-US" w:eastAsia="zh-CN"/>
        </w:rPr>
      </w:pPr>
    </w:p>
    <w:p w14:paraId="2FECAE25">
      <w:pPr>
        <w:shd w:val="clear"/>
        <w:bidi w:val="0"/>
        <w:rPr>
          <w:color w:val="auto"/>
          <w:lang w:val="en-US" w:eastAsia="zh-CN"/>
        </w:rPr>
      </w:pPr>
    </w:p>
    <w:p w14:paraId="630052D2">
      <w:pPr>
        <w:shd w:val="clear"/>
        <w:bidi w:val="0"/>
        <w:rPr>
          <w:color w:val="auto"/>
          <w:lang w:val="en-US" w:eastAsia="zh-CN"/>
        </w:rPr>
      </w:pPr>
    </w:p>
    <w:p w14:paraId="2206369E">
      <w:pPr>
        <w:shd w:val="clear"/>
        <w:bidi w:val="0"/>
        <w:rPr>
          <w:color w:val="auto"/>
          <w:lang w:val="en-US" w:eastAsia="zh-CN"/>
        </w:rPr>
      </w:pPr>
    </w:p>
    <w:p w14:paraId="6547F62A">
      <w:pPr>
        <w:shd w:val="clear"/>
        <w:bidi w:val="0"/>
        <w:rPr>
          <w:color w:val="auto"/>
          <w:lang w:val="en-US" w:eastAsia="zh-CN"/>
        </w:rPr>
      </w:pPr>
    </w:p>
    <w:p w14:paraId="124B95CD">
      <w:pPr>
        <w:shd w:val="clear"/>
        <w:bidi w:val="0"/>
        <w:rPr>
          <w:color w:val="auto"/>
          <w:lang w:val="en-US" w:eastAsia="zh-CN"/>
        </w:rPr>
      </w:pPr>
    </w:p>
    <w:p w14:paraId="2B50B482">
      <w:pPr>
        <w:shd w:val="clear"/>
        <w:bidi w:val="0"/>
        <w:rPr>
          <w:color w:val="auto"/>
          <w:lang w:val="en-US" w:eastAsia="zh-CN"/>
        </w:rPr>
      </w:pPr>
    </w:p>
    <w:p w14:paraId="5BE806FE">
      <w:pPr>
        <w:shd w:val="clear"/>
        <w:bidi w:val="0"/>
        <w:rPr>
          <w:color w:val="auto"/>
          <w:lang w:val="en-US" w:eastAsia="zh-CN"/>
        </w:rPr>
      </w:pPr>
    </w:p>
    <w:p w14:paraId="43BB98D9">
      <w:pPr>
        <w:shd w:val="clear"/>
        <w:bidi w:val="0"/>
        <w:rPr>
          <w:color w:val="auto"/>
          <w:lang w:val="en-US" w:eastAsia="zh-CN"/>
        </w:rPr>
      </w:pPr>
    </w:p>
    <w:p w14:paraId="487DF975">
      <w:pPr>
        <w:shd w:val="clear"/>
        <w:bidi w:val="0"/>
        <w:rPr>
          <w:color w:val="auto"/>
          <w:lang w:val="en-US" w:eastAsia="zh-CN"/>
        </w:rPr>
      </w:pPr>
    </w:p>
    <w:p w14:paraId="40CF8795">
      <w:pPr>
        <w:shd w:val="clear"/>
        <w:tabs>
          <w:tab w:val="left" w:pos="816"/>
        </w:tabs>
        <w:bidi w:val="0"/>
        <w:jc w:val="left"/>
        <w:rPr>
          <w:rFonts w:hint="eastAsia"/>
          <w:color w:val="auto"/>
          <w:lang w:val="en-US" w:eastAsia="zh-CN"/>
        </w:rPr>
        <w:sectPr>
          <w:footerReference r:id="rId4" w:type="default"/>
          <w:pgSz w:w="11906" w:h="16838"/>
          <w:pgMar w:top="2098" w:right="1474" w:bottom="1984" w:left="1587" w:header="851" w:footer="992" w:gutter="0"/>
          <w:pgNumType w:fmt="numberInDash" w:start="1"/>
          <w:cols w:space="425" w:num="1"/>
          <w:docGrid w:type="lines" w:linePitch="312" w:charSpace="0"/>
        </w:sectPr>
      </w:pPr>
    </w:p>
    <w:p w14:paraId="78AE8CC4">
      <w:pPr>
        <w:shd w:val="clear"/>
        <w:spacing w:before="101" w:line="230" w:lineRule="auto"/>
        <w:ind w:left="304"/>
        <w:rPr>
          <w:rFonts w:ascii="黑体" w:hAnsi="黑体" w:eastAsia="黑体" w:cs="黑体"/>
          <w:color w:val="auto"/>
          <w:sz w:val="31"/>
          <w:szCs w:val="31"/>
        </w:rPr>
      </w:pPr>
      <w:r>
        <w:rPr>
          <w:rFonts w:ascii="黑体" w:hAnsi="黑体" w:eastAsia="黑体" w:cs="黑体"/>
          <w:color w:val="auto"/>
          <w:spacing w:val="-4"/>
          <w:sz w:val="31"/>
          <w:szCs w:val="31"/>
        </w:rPr>
        <w:t>附件</w:t>
      </w:r>
      <w:r>
        <w:rPr>
          <w:rFonts w:ascii="黑体" w:hAnsi="黑体" w:eastAsia="黑体" w:cs="黑体"/>
          <w:color w:val="auto"/>
          <w:spacing w:val="-64"/>
          <w:sz w:val="31"/>
          <w:szCs w:val="31"/>
        </w:rPr>
        <w:t xml:space="preserve"> </w:t>
      </w:r>
      <w:r>
        <w:rPr>
          <w:rFonts w:ascii="黑体" w:hAnsi="黑体" w:eastAsia="黑体" w:cs="黑体"/>
          <w:color w:val="auto"/>
          <w:spacing w:val="-4"/>
          <w:sz w:val="31"/>
          <w:szCs w:val="31"/>
        </w:rPr>
        <w:t>2</w:t>
      </w:r>
    </w:p>
    <w:p w14:paraId="1A928003">
      <w:pPr>
        <w:shd w:val="clear"/>
        <w:spacing w:before="79" w:line="225" w:lineRule="auto"/>
        <w:ind w:left="3693"/>
        <w:rPr>
          <w:rFonts w:ascii="黑体" w:hAnsi="黑体" w:eastAsia="黑体" w:cs="黑体"/>
          <w:color w:val="auto"/>
          <w:sz w:val="43"/>
          <w:szCs w:val="43"/>
        </w:rPr>
      </w:pPr>
      <w:r>
        <w:rPr>
          <w:rFonts w:hint="eastAsia" w:ascii="黑体" w:hAnsi="黑体" w:eastAsia="黑体" w:cs="黑体"/>
          <w:color w:val="auto"/>
          <w:spacing w:val="16"/>
          <w:sz w:val="43"/>
          <w:szCs w:val="43"/>
          <w:lang w:eastAsia="zh-CN"/>
        </w:rPr>
        <w:t>浑源县</w:t>
      </w:r>
      <w:r>
        <w:rPr>
          <w:rFonts w:ascii="黑体" w:hAnsi="黑体" w:eastAsia="黑体" w:cs="黑体"/>
          <w:color w:val="auto"/>
          <w:spacing w:val="16"/>
          <w:sz w:val="43"/>
          <w:szCs w:val="43"/>
        </w:rPr>
        <w:t>地质灾害应急指挥机构及职责</w:t>
      </w:r>
    </w:p>
    <w:tbl>
      <w:tblPr>
        <w:tblStyle w:val="18"/>
        <w:tblW w:w="14339" w:type="dxa"/>
        <w:tblInd w:w="-3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4030"/>
        <w:gridCol w:w="9402"/>
      </w:tblGrid>
      <w:tr w14:paraId="19F2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37" w:type="dxa"/>
            <w:gridSpan w:val="2"/>
            <w:vAlign w:val="top"/>
          </w:tcPr>
          <w:p w14:paraId="7F1A1FBE">
            <w:pPr>
              <w:shd w:val="clear"/>
              <w:spacing w:before="130" w:line="222" w:lineRule="auto"/>
              <w:ind w:left="1754"/>
              <w:rPr>
                <w:rFonts w:ascii="黑体" w:hAnsi="黑体" w:eastAsia="黑体" w:cs="黑体"/>
                <w:color w:val="auto"/>
                <w:sz w:val="28"/>
                <w:szCs w:val="28"/>
              </w:rPr>
            </w:pPr>
            <w:r>
              <w:rPr>
                <w:rFonts w:ascii="黑体" w:hAnsi="黑体" w:eastAsia="黑体" w:cs="黑体"/>
                <w:color w:val="auto"/>
                <w:spacing w:val="-4"/>
                <w:sz w:val="28"/>
                <w:szCs w:val="28"/>
              </w:rPr>
              <w:t>人员组成</w:t>
            </w:r>
          </w:p>
        </w:tc>
        <w:tc>
          <w:tcPr>
            <w:tcW w:w="9402" w:type="dxa"/>
            <w:vAlign w:val="top"/>
          </w:tcPr>
          <w:p w14:paraId="24EF3618">
            <w:pPr>
              <w:shd w:val="clear"/>
              <w:spacing w:before="130" w:line="222" w:lineRule="auto"/>
              <w:ind w:left="3726"/>
              <w:rPr>
                <w:rFonts w:ascii="黑体" w:hAnsi="黑体" w:eastAsia="黑体" w:cs="黑体"/>
                <w:color w:val="auto"/>
                <w:sz w:val="28"/>
                <w:szCs w:val="28"/>
              </w:rPr>
            </w:pPr>
            <w:r>
              <w:rPr>
                <w:rFonts w:ascii="黑体" w:hAnsi="黑体" w:eastAsia="黑体" w:cs="黑体"/>
                <w:color w:val="auto"/>
                <w:spacing w:val="-2"/>
                <w:sz w:val="28"/>
                <w:szCs w:val="28"/>
              </w:rPr>
              <w:t>指挥机构及职责</w:t>
            </w:r>
          </w:p>
        </w:tc>
      </w:tr>
      <w:tr w14:paraId="05F91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9" w:hRule="atLeast"/>
        </w:trPr>
        <w:tc>
          <w:tcPr>
            <w:tcW w:w="907" w:type="dxa"/>
            <w:vMerge w:val="restart"/>
            <w:tcBorders>
              <w:bottom w:val="nil"/>
            </w:tcBorders>
            <w:textDirection w:val="tbRlV"/>
            <w:vAlign w:val="top"/>
          </w:tcPr>
          <w:p w14:paraId="394CFCE8">
            <w:pPr>
              <w:pStyle w:val="19"/>
              <w:shd w:val="clear"/>
              <w:spacing w:before="142" w:line="202" w:lineRule="auto"/>
              <w:ind w:left="3070"/>
              <w:rPr>
                <w:color w:val="auto"/>
              </w:rPr>
            </w:pPr>
            <w:r>
              <w:rPr>
                <w:color w:val="auto"/>
                <w:spacing w:val="7"/>
              </w:rPr>
              <w:t>指</w:t>
            </w:r>
            <w:r>
              <w:rPr>
                <w:color w:val="auto"/>
                <w:spacing w:val="-29"/>
              </w:rPr>
              <w:t xml:space="preserve"> </w:t>
            </w:r>
            <w:r>
              <w:rPr>
                <w:color w:val="auto"/>
                <w:spacing w:val="7"/>
              </w:rPr>
              <w:t>挥</w:t>
            </w:r>
            <w:r>
              <w:rPr>
                <w:color w:val="auto"/>
                <w:spacing w:val="-27"/>
              </w:rPr>
              <w:t xml:space="preserve"> </w:t>
            </w:r>
            <w:r>
              <w:rPr>
                <w:color w:val="auto"/>
                <w:spacing w:val="7"/>
              </w:rPr>
              <w:t>长</w:t>
            </w:r>
          </w:p>
        </w:tc>
        <w:tc>
          <w:tcPr>
            <w:tcW w:w="4030" w:type="dxa"/>
            <w:vMerge w:val="restart"/>
            <w:tcBorders>
              <w:bottom w:val="nil"/>
            </w:tcBorders>
            <w:vAlign w:val="top"/>
          </w:tcPr>
          <w:p w14:paraId="04939CC4">
            <w:pPr>
              <w:shd w:val="clear"/>
              <w:spacing w:line="243" w:lineRule="auto"/>
              <w:rPr>
                <w:rFonts w:ascii="Arial"/>
                <w:color w:val="auto"/>
                <w:sz w:val="21"/>
              </w:rPr>
            </w:pPr>
          </w:p>
          <w:p w14:paraId="2C50AFD7">
            <w:pPr>
              <w:shd w:val="clear"/>
              <w:spacing w:line="243" w:lineRule="auto"/>
              <w:rPr>
                <w:rFonts w:ascii="Arial"/>
                <w:color w:val="auto"/>
                <w:sz w:val="21"/>
              </w:rPr>
            </w:pPr>
          </w:p>
          <w:p w14:paraId="194B9E7B">
            <w:pPr>
              <w:shd w:val="clear"/>
              <w:spacing w:line="243" w:lineRule="auto"/>
              <w:rPr>
                <w:rFonts w:ascii="Arial"/>
                <w:color w:val="auto"/>
                <w:sz w:val="21"/>
              </w:rPr>
            </w:pPr>
          </w:p>
          <w:p w14:paraId="329A4117">
            <w:pPr>
              <w:shd w:val="clear"/>
              <w:spacing w:line="243" w:lineRule="auto"/>
              <w:rPr>
                <w:rFonts w:ascii="Arial"/>
                <w:color w:val="auto"/>
                <w:sz w:val="21"/>
              </w:rPr>
            </w:pPr>
          </w:p>
          <w:p w14:paraId="462E6EFC">
            <w:pPr>
              <w:shd w:val="clear"/>
              <w:spacing w:line="243" w:lineRule="auto"/>
              <w:rPr>
                <w:rFonts w:ascii="Arial"/>
                <w:color w:val="auto"/>
                <w:sz w:val="21"/>
              </w:rPr>
            </w:pPr>
          </w:p>
          <w:p w14:paraId="6EA254FB">
            <w:pPr>
              <w:shd w:val="clear"/>
              <w:spacing w:line="243" w:lineRule="auto"/>
              <w:rPr>
                <w:rFonts w:ascii="Arial"/>
                <w:color w:val="auto"/>
                <w:sz w:val="21"/>
              </w:rPr>
            </w:pPr>
          </w:p>
          <w:p w14:paraId="4861F86D">
            <w:pPr>
              <w:shd w:val="clear"/>
              <w:spacing w:line="243" w:lineRule="auto"/>
              <w:rPr>
                <w:rFonts w:ascii="Arial"/>
                <w:color w:val="auto"/>
                <w:sz w:val="21"/>
              </w:rPr>
            </w:pPr>
          </w:p>
          <w:p w14:paraId="61813579">
            <w:pPr>
              <w:shd w:val="clear"/>
              <w:spacing w:line="243" w:lineRule="auto"/>
              <w:rPr>
                <w:rFonts w:ascii="Arial"/>
                <w:color w:val="auto"/>
                <w:sz w:val="21"/>
              </w:rPr>
            </w:pPr>
          </w:p>
          <w:p w14:paraId="1A79E400">
            <w:pPr>
              <w:shd w:val="clear"/>
              <w:spacing w:line="243" w:lineRule="auto"/>
              <w:rPr>
                <w:rFonts w:ascii="Arial"/>
                <w:color w:val="auto"/>
                <w:sz w:val="21"/>
              </w:rPr>
            </w:pPr>
          </w:p>
          <w:p w14:paraId="535A5DB6">
            <w:pPr>
              <w:pStyle w:val="19"/>
              <w:shd w:val="clear"/>
              <w:spacing w:before="91" w:line="249" w:lineRule="auto"/>
              <w:ind w:right="193" w:firstLine="552" w:firstLineChars="200"/>
              <w:rPr>
                <w:color w:val="auto"/>
              </w:rPr>
            </w:pPr>
            <w:r>
              <w:rPr>
                <w:rFonts w:hint="eastAsia"/>
                <w:color w:val="auto"/>
                <w:spacing w:val="-2"/>
                <w:lang w:eastAsia="zh-CN"/>
              </w:rPr>
              <w:t>县</w:t>
            </w:r>
            <w:r>
              <w:rPr>
                <w:color w:val="auto"/>
                <w:spacing w:val="-2"/>
              </w:rPr>
              <w:t>政府分管自然资源工作的副</w:t>
            </w:r>
            <w:r>
              <w:rPr>
                <w:rFonts w:hint="eastAsia"/>
                <w:color w:val="auto"/>
                <w:spacing w:val="-13"/>
                <w:lang w:eastAsia="zh-CN"/>
              </w:rPr>
              <w:t>县</w:t>
            </w:r>
            <w:r>
              <w:rPr>
                <w:color w:val="auto"/>
                <w:spacing w:val="-13"/>
              </w:rPr>
              <w:t>长</w:t>
            </w:r>
          </w:p>
        </w:tc>
        <w:tc>
          <w:tcPr>
            <w:tcW w:w="9402" w:type="dxa"/>
            <w:vAlign w:val="top"/>
          </w:tcPr>
          <w:p w14:paraId="7001438B">
            <w:pPr>
              <w:pStyle w:val="19"/>
              <w:shd w:val="clear"/>
              <w:spacing w:before="301" w:line="259" w:lineRule="auto"/>
              <w:ind w:left="121" w:right="105" w:firstLine="8"/>
              <w:jc w:val="both"/>
              <w:rPr>
                <w:color w:val="auto"/>
              </w:rPr>
            </w:pPr>
            <w:r>
              <w:rPr>
                <w:rFonts w:hint="eastAsia"/>
                <w:color w:val="auto"/>
                <w:spacing w:val="4"/>
                <w:lang w:eastAsia="zh-CN"/>
              </w:rPr>
              <w:t>县</w:t>
            </w:r>
            <w:r>
              <w:rPr>
                <w:color w:val="auto"/>
                <w:spacing w:val="4"/>
              </w:rPr>
              <w:t>指挥部职责：贯彻落实党中央、</w:t>
            </w:r>
            <w:r>
              <w:rPr>
                <w:color w:val="auto"/>
                <w:spacing w:val="-69"/>
              </w:rPr>
              <w:t xml:space="preserve"> </w:t>
            </w:r>
            <w:r>
              <w:rPr>
                <w:color w:val="auto"/>
                <w:spacing w:val="4"/>
              </w:rPr>
              <w:t>国务院及省委、省政府关于地质灾害防</w:t>
            </w:r>
            <w:r>
              <w:rPr>
                <w:color w:val="auto"/>
              </w:rPr>
              <w:t xml:space="preserve"> </w:t>
            </w:r>
            <w:r>
              <w:rPr>
                <w:color w:val="auto"/>
                <w:spacing w:val="6"/>
              </w:rPr>
              <w:t>范应对工作的决策部署，统筹协调全</w:t>
            </w:r>
            <w:r>
              <w:rPr>
                <w:rFonts w:hint="eastAsia"/>
                <w:color w:val="auto"/>
                <w:spacing w:val="6"/>
                <w:lang w:eastAsia="zh-CN"/>
              </w:rPr>
              <w:t>县</w:t>
            </w:r>
            <w:r>
              <w:rPr>
                <w:color w:val="auto"/>
                <w:spacing w:val="6"/>
              </w:rPr>
              <w:t>地质灾害防范治理工作，制定地质灾害总体规划、重要措施，指导协调地质灾害风险防控、监测预警</w:t>
            </w:r>
            <w:r>
              <w:rPr>
                <w:rFonts w:hint="eastAsia"/>
                <w:color w:val="auto"/>
                <w:spacing w:val="6"/>
                <w:lang w:eastAsia="zh-CN"/>
              </w:rPr>
              <w:t>、</w:t>
            </w:r>
            <w:r>
              <w:rPr>
                <w:color w:val="auto"/>
                <w:spacing w:val="6"/>
              </w:rPr>
              <w:t>调查评估和善后工作，组织指挥较大地质灾害应急处置工作，部署和组织有关部门及有关地区对受灾地区进行紧急援救，落实</w:t>
            </w:r>
            <w:r>
              <w:rPr>
                <w:rFonts w:hint="eastAsia"/>
                <w:color w:val="auto"/>
                <w:spacing w:val="6"/>
                <w:lang w:eastAsia="zh-CN"/>
              </w:rPr>
              <w:t>县</w:t>
            </w:r>
            <w:r>
              <w:rPr>
                <w:color w:val="auto"/>
                <w:spacing w:val="6"/>
              </w:rPr>
              <w:t>委、</w:t>
            </w:r>
            <w:r>
              <w:rPr>
                <w:rFonts w:hint="eastAsia"/>
                <w:color w:val="auto"/>
                <w:spacing w:val="6"/>
                <w:lang w:eastAsia="zh-CN"/>
              </w:rPr>
              <w:t>县</w:t>
            </w:r>
            <w:r>
              <w:rPr>
                <w:color w:val="auto"/>
                <w:spacing w:val="6"/>
              </w:rPr>
              <w:t>政府和</w:t>
            </w:r>
            <w:r>
              <w:rPr>
                <w:rFonts w:hint="eastAsia"/>
                <w:color w:val="auto"/>
                <w:spacing w:val="6"/>
                <w:lang w:eastAsia="zh-CN"/>
              </w:rPr>
              <w:t>县</w:t>
            </w:r>
            <w:r>
              <w:rPr>
                <w:color w:val="auto"/>
                <w:spacing w:val="6"/>
              </w:rPr>
              <w:t>应急救</w:t>
            </w:r>
            <w:r>
              <w:rPr>
                <w:color w:val="auto"/>
                <w:spacing w:val="-1"/>
              </w:rPr>
              <w:t>援总指挥部交办的地质灾害应急处置的其他重大事项。</w:t>
            </w:r>
          </w:p>
          <w:p w14:paraId="50DB84E7">
            <w:pPr>
              <w:pStyle w:val="19"/>
              <w:shd w:val="clear"/>
              <w:spacing w:before="45" w:line="248" w:lineRule="auto"/>
              <w:ind w:left="130" w:right="107"/>
              <w:rPr>
                <w:color w:val="auto"/>
              </w:rPr>
            </w:pPr>
            <w:r>
              <w:rPr>
                <w:rFonts w:hint="eastAsia"/>
                <w:color w:val="auto"/>
                <w:spacing w:val="6"/>
                <w:lang w:eastAsia="zh-CN"/>
              </w:rPr>
              <w:t>县</w:t>
            </w:r>
            <w:r>
              <w:rPr>
                <w:color w:val="auto"/>
                <w:spacing w:val="6"/>
              </w:rPr>
              <w:t>地质灾害应急指挥部下设办公室，办公室设在</w:t>
            </w:r>
            <w:r>
              <w:rPr>
                <w:rFonts w:hint="eastAsia"/>
                <w:color w:val="auto"/>
                <w:spacing w:val="6"/>
                <w:lang w:eastAsia="zh-CN"/>
              </w:rPr>
              <w:t>县</w:t>
            </w:r>
            <w:r>
              <w:rPr>
                <w:color w:val="auto"/>
                <w:spacing w:val="6"/>
              </w:rPr>
              <w:t>应急局，办公室主任由</w:t>
            </w:r>
            <w:r>
              <w:rPr>
                <w:rFonts w:hint="eastAsia"/>
                <w:color w:val="auto"/>
                <w:spacing w:val="-1"/>
                <w:lang w:eastAsia="zh-CN"/>
              </w:rPr>
              <w:t>县</w:t>
            </w:r>
            <w:r>
              <w:rPr>
                <w:color w:val="auto"/>
                <w:spacing w:val="-1"/>
              </w:rPr>
              <w:t>应急管理局和</w:t>
            </w:r>
            <w:r>
              <w:rPr>
                <w:rFonts w:hint="eastAsia"/>
                <w:color w:val="auto"/>
                <w:spacing w:val="-1"/>
                <w:lang w:eastAsia="zh-CN"/>
              </w:rPr>
              <w:t>县自然资源局</w:t>
            </w:r>
            <w:r>
              <w:rPr>
                <w:color w:val="auto"/>
                <w:spacing w:val="-1"/>
              </w:rPr>
              <w:t>主要负责人兼</w:t>
            </w:r>
            <w:r>
              <w:rPr>
                <w:color w:val="auto"/>
                <w:spacing w:val="-2"/>
              </w:rPr>
              <w:t>任。</w:t>
            </w:r>
          </w:p>
        </w:tc>
      </w:tr>
      <w:tr w14:paraId="6B0D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907" w:type="dxa"/>
            <w:vMerge w:val="continue"/>
            <w:tcBorders>
              <w:top w:val="nil"/>
            </w:tcBorders>
            <w:textDirection w:val="tbRlV"/>
            <w:vAlign w:val="top"/>
          </w:tcPr>
          <w:p w14:paraId="7CBAF1D4">
            <w:pPr>
              <w:shd w:val="clear"/>
              <w:rPr>
                <w:rFonts w:ascii="Arial"/>
                <w:color w:val="auto"/>
                <w:sz w:val="21"/>
              </w:rPr>
            </w:pPr>
          </w:p>
        </w:tc>
        <w:tc>
          <w:tcPr>
            <w:tcW w:w="4030" w:type="dxa"/>
            <w:vMerge w:val="continue"/>
            <w:tcBorders>
              <w:top w:val="nil"/>
            </w:tcBorders>
            <w:vAlign w:val="top"/>
          </w:tcPr>
          <w:p w14:paraId="33C9D095">
            <w:pPr>
              <w:shd w:val="clear"/>
              <w:rPr>
                <w:rFonts w:ascii="Arial"/>
                <w:color w:val="auto"/>
                <w:sz w:val="21"/>
              </w:rPr>
            </w:pPr>
          </w:p>
        </w:tc>
        <w:tc>
          <w:tcPr>
            <w:tcW w:w="9402" w:type="dxa"/>
            <w:vAlign w:val="top"/>
          </w:tcPr>
          <w:p w14:paraId="55FDB892">
            <w:pPr>
              <w:shd w:val="clear"/>
              <w:spacing w:line="315" w:lineRule="auto"/>
              <w:rPr>
                <w:rFonts w:ascii="Arial"/>
                <w:color w:val="auto"/>
                <w:sz w:val="21"/>
              </w:rPr>
            </w:pPr>
          </w:p>
          <w:p w14:paraId="5638735A">
            <w:pPr>
              <w:shd w:val="clear"/>
              <w:spacing w:line="315" w:lineRule="auto"/>
              <w:rPr>
                <w:rFonts w:ascii="Arial"/>
                <w:color w:val="auto"/>
                <w:sz w:val="21"/>
              </w:rPr>
            </w:pPr>
          </w:p>
          <w:p w14:paraId="5F769347">
            <w:pPr>
              <w:shd w:val="clear"/>
              <w:spacing w:line="316" w:lineRule="auto"/>
              <w:rPr>
                <w:rFonts w:ascii="Arial"/>
                <w:color w:val="auto"/>
                <w:sz w:val="21"/>
              </w:rPr>
            </w:pPr>
          </w:p>
          <w:p w14:paraId="2AA88D8C">
            <w:pPr>
              <w:pStyle w:val="19"/>
              <w:shd w:val="clear"/>
              <w:spacing w:before="91" w:line="256" w:lineRule="auto"/>
              <w:ind w:left="122" w:right="107"/>
              <w:jc w:val="both"/>
              <w:rPr>
                <w:color w:val="auto"/>
              </w:rPr>
            </w:pPr>
            <w:r>
              <w:rPr>
                <w:color w:val="auto"/>
                <w:spacing w:val="6"/>
              </w:rPr>
              <w:t>指挥长职责：全面负责灾害的组织救援工作，制定灾害救援实施方案，调度指挥各方面救援力量，处置紧急情况。对不服从指挥、行动迟缓、贻误战机、消极怠工、工作失职的相关责任人，可建议政府按照组织</w:t>
            </w:r>
            <w:r>
              <w:rPr>
                <w:color w:val="auto"/>
                <w:spacing w:val="-2"/>
              </w:rPr>
              <w:t>程序给予行政纪律处分。</w:t>
            </w:r>
          </w:p>
        </w:tc>
      </w:tr>
    </w:tbl>
    <w:p w14:paraId="52DDBE02">
      <w:pPr>
        <w:shd w:val="clear"/>
        <w:tabs>
          <w:tab w:val="left" w:pos="816"/>
        </w:tabs>
        <w:bidi w:val="0"/>
        <w:jc w:val="left"/>
        <w:rPr>
          <w:rFonts w:hint="eastAsia"/>
          <w:color w:val="auto"/>
          <w:lang w:val="en-US" w:eastAsia="zh-CN"/>
        </w:rPr>
      </w:pPr>
    </w:p>
    <w:p w14:paraId="3C9D35D7">
      <w:pPr>
        <w:shd w:val="clear"/>
        <w:tabs>
          <w:tab w:val="left" w:pos="816"/>
        </w:tabs>
        <w:bidi w:val="0"/>
        <w:jc w:val="left"/>
        <w:rPr>
          <w:rFonts w:hint="eastAsia"/>
          <w:color w:val="auto"/>
          <w:lang w:val="en-US" w:eastAsia="zh-CN"/>
        </w:rPr>
      </w:pPr>
    </w:p>
    <w:tbl>
      <w:tblPr>
        <w:tblStyle w:val="18"/>
        <w:tblW w:w="14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4030"/>
        <w:gridCol w:w="9402"/>
      </w:tblGrid>
      <w:tr w14:paraId="0C5E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601" w:type="dxa"/>
            <w:gridSpan w:val="2"/>
            <w:vAlign w:val="top"/>
          </w:tcPr>
          <w:p w14:paraId="2B76F8DE">
            <w:pPr>
              <w:shd w:val="clear"/>
              <w:spacing w:before="129" w:line="222" w:lineRule="auto"/>
              <w:ind w:left="1754"/>
              <w:rPr>
                <w:rFonts w:ascii="黑体" w:hAnsi="黑体" w:eastAsia="黑体" w:cs="黑体"/>
                <w:color w:val="auto"/>
                <w:sz w:val="28"/>
                <w:szCs w:val="28"/>
              </w:rPr>
            </w:pPr>
            <w:r>
              <w:rPr>
                <w:rFonts w:ascii="黑体" w:hAnsi="黑体" w:eastAsia="黑体" w:cs="黑体"/>
                <w:color w:val="auto"/>
                <w:spacing w:val="-4"/>
                <w:sz w:val="28"/>
                <w:szCs w:val="28"/>
              </w:rPr>
              <w:t>人员组成</w:t>
            </w:r>
          </w:p>
        </w:tc>
        <w:tc>
          <w:tcPr>
            <w:tcW w:w="9402" w:type="dxa"/>
            <w:vAlign w:val="top"/>
          </w:tcPr>
          <w:p w14:paraId="4A365FF9">
            <w:pPr>
              <w:shd w:val="clear"/>
              <w:spacing w:before="129" w:line="222" w:lineRule="auto"/>
              <w:ind w:left="3726"/>
              <w:rPr>
                <w:rFonts w:ascii="黑体" w:hAnsi="黑体" w:eastAsia="黑体" w:cs="黑体"/>
                <w:color w:val="auto"/>
                <w:sz w:val="28"/>
                <w:szCs w:val="28"/>
              </w:rPr>
            </w:pPr>
            <w:r>
              <w:rPr>
                <w:rFonts w:ascii="黑体" w:hAnsi="黑体" w:eastAsia="黑体" w:cs="黑体"/>
                <w:color w:val="auto"/>
                <w:spacing w:val="-2"/>
                <w:sz w:val="28"/>
                <w:szCs w:val="28"/>
              </w:rPr>
              <w:t>指挥机构及职责</w:t>
            </w:r>
          </w:p>
        </w:tc>
      </w:tr>
      <w:tr w14:paraId="773F2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71" w:type="dxa"/>
            <w:vMerge w:val="restart"/>
            <w:tcBorders>
              <w:bottom w:val="nil"/>
            </w:tcBorders>
            <w:textDirection w:val="tbRlV"/>
            <w:vAlign w:val="top"/>
          </w:tcPr>
          <w:p w14:paraId="348D2C39">
            <w:pPr>
              <w:pStyle w:val="19"/>
              <w:shd w:val="clear"/>
              <w:spacing w:before="142" w:line="202" w:lineRule="auto"/>
              <w:ind w:left="1877"/>
              <w:rPr>
                <w:color w:val="auto"/>
              </w:rPr>
            </w:pPr>
            <w:r>
              <w:rPr>
                <w:color w:val="auto"/>
                <w:spacing w:val="7"/>
              </w:rPr>
              <w:t>副</w:t>
            </w:r>
            <w:r>
              <w:rPr>
                <w:color w:val="auto"/>
                <w:spacing w:val="-29"/>
              </w:rPr>
              <w:t xml:space="preserve"> </w:t>
            </w:r>
            <w:r>
              <w:rPr>
                <w:color w:val="auto"/>
                <w:spacing w:val="7"/>
              </w:rPr>
              <w:t>指</w:t>
            </w:r>
            <w:r>
              <w:rPr>
                <w:color w:val="auto"/>
                <w:spacing w:val="-26"/>
              </w:rPr>
              <w:t xml:space="preserve"> </w:t>
            </w:r>
            <w:r>
              <w:rPr>
                <w:color w:val="auto"/>
                <w:spacing w:val="7"/>
              </w:rPr>
              <w:t>挥</w:t>
            </w:r>
            <w:r>
              <w:rPr>
                <w:color w:val="auto"/>
                <w:spacing w:val="-27"/>
              </w:rPr>
              <w:t xml:space="preserve"> </w:t>
            </w:r>
            <w:r>
              <w:rPr>
                <w:color w:val="auto"/>
                <w:spacing w:val="7"/>
              </w:rPr>
              <w:t>长</w:t>
            </w:r>
          </w:p>
        </w:tc>
        <w:tc>
          <w:tcPr>
            <w:tcW w:w="4030" w:type="dxa"/>
            <w:vAlign w:val="top"/>
          </w:tcPr>
          <w:p w14:paraId="32F67712">
            <w:pPr>
              <w:pStyle w:val="19"/>
              <w:shd w:val="clear"/>
              <w:spacing w:before="192" w:line="223" w:lineRule="auto"/>
              <w:ind w:left="356" w:firstLine="822" w:firstLineChars="300"/>
              <w:rPr>
                <w:rFonts w:hint="eastAsia" w:eastAsia="仿宋"/>
                <w:color w:val="auto"/>
                <w:lang w:eastAsia="zh-CN"/>
              </w:rPr>
            </w:pPr>
            <w:r>
              <w:rPr>
                <w:rFonts w:hint="eastAsia"/>
                <w:color w:val="auto"/>
                <w:spacing w:val="-3"/>
                <w:lang w:eastAsia="zh-CN"/>
              </w:rPr>
              <w:t>县</w:t>
            </w:r>
            <w:r>
              <w:rPr>
                <w:color w:val="auto"/>
                <w:spacing w:val="-3"/>
              </w:rPr>
              <w:t>政府办公室</w:t>
            </w:r>
            <w:r>
              <w:rPr>
                <w:rFonts w:hint="eastAsia"/>
                <w:color w:val="auto"/>
                <w:spacing w:val="-3"/>
                <w:lang w:eastAsia="zh-CN"/>
              </w:rPr>
              <w:t>主任</w:t>
            </w:r>
          </w:p>
        </w:tc>
        <w:tc>
          <w:tcPr>
            <w:tcW w:w="9402" w:type="dxa"/>
            <w:vMerge w:val="restart"/>
            <w:tcBorders>
              <w:bottom w:val="nil"/>
            </w:tcBorders>
            <w:vAlign w:val="top"/>
          </w:tcPr>
          <w:p w14:paraId="7AE8AC7B">
            <w:pPr>
              <w:shd w:val="clear"/>
              <w:spacing w:line="290" w:lineRule="auto"/>
              <w:rPr>
                <w:rFonts w:ascii="Arial"/>
                <w:color w:val="auto"/>
                <w:sz w:val="21"/>
              </w:rPr>
            </w:pPr>
          </w:p>
          <w:p w14:paraId="65239E63">
            <w:pPr>
              <w:shd w:val="clear"/>
              <w:spacing w:line="291" w:lineRule="auto"/>
              <w:rPr>
                <w:rFonts w:ascii="Arial"/>
                <w:color w:val="auto"/>
                <w:sz w:val="21"/>
              </w:rPr>
            </w:pPr>
          </w:p>
          <w:p w14:paraId="5AE80CBE">
            <w:pPr>
              <w:pStyle w:val="19"/>
              <w:shd w:val="clear"/>
              <w:spacing w:before="91" w:line="247" w:lineRule="auto"/>
              <w:ind w:left="127" w:right="107" w:firstLine="3"/>
              <w:rPr>
                <w:color w:val="auto"/>
              </w:rPr>
            </w:pPr>
            <w:r>
              <w:rPr>
                <w:color w:val="auto"/>
                <w:spacing w:val="6"/>
              </w:rPr>
              <w:t>副指挥长职责：协助指挥长监督检查各项工作的落实，承办前方指挥部分</w:t>
            </w:r>
            <w:r>
              <w:rPr>
                <w:color w:val="auto"/>
                <w:spacing w:val="-4"/>
              </w:rPr>
              <w:t>配的工作任务。</w:t>
            </w:r>
          </w:p>
          <w:p w14:paraId="176675CF">
            <w:pPr>
              <w:shd w:val="clear"/>
              <w:spacing w:line="361" w:lineRule="auto"/>
              <w:rPr>
                <w:rFonts w:ascii="Arial"/>
                <w:color w:val="auto"/>
                <w:sz w:val="21"/>
              </w:rPr>
            </w:pPr>
          </w:p>
          <w:p w14:paraId="258959B8">
            <w:pPr>
              <w:pStyle w:val="19"/>
              <w:shd w:val="clear"/>
              <w:spacing w:before="91" w:line="258" w:lineRule="auto"/>
              <w:ind w:left="122" w:right="107" w:firstLine="7"/>
              <w:rPr>
                <w:color w:val="auto"/>
              </w:rPr>
            </w:pPr>
            <w:r>
              <w:rPr>
                <w:rFonts w:hint="eastAsia"/>
                <w:color w:val="auto"/>
                <w:spacing w:val="6"/>
                <w:lang w:eastAsia="zh-CN"/>
              </w:rPr>
              <w:t>县</w:t>
            </w:r>
            <w:r>
              <w:rPr>
                <w:color w:val="auto"/>
                <w:spacing w:val="6"/>
              </w:rPr>
              <w:t>地质灾害应急指挥部办公室职责：承担地质灾害应急指挥部日常工作，</w:t>
            </w:r>
            <w:r>
              <w:rPr>
                <w:color w:val="auto"/>
                <w:spacing w:val="5"/>
              </w:rPr>
              <w:t xml:space="preserve"> </w:t>
            </w:r>
            <w:r>
              <w:rPr>
                <w:color w:val="auto"/>
                <w:spacing w:val="6"/>
              </w:rPr>
              <w:t>制定、修订地质灾害专项应急预案，开展地质灾害风险防控和监测预警工作，组织桌面推演、实兵演练等应对地质灾害专项训练，协调各方面力量参加地质灾害救援行动，协助</w:t>
            </w:r>
            <w:r>
              <w:rPr>
                <w:rFonts w:hint="eastAsia"/>
                <w:color w:val="auto"/>
                <w:spacing w:val="6"/>
                <w:lang w:eastAsia="zh-CN"/>
              </w:rPr>
              <w:t>县</w:t>
            </w:r>
            <w:r>
              <w:rPr>
                <w:color w:val="auto"/>
                <w:spacing w:val="6"/>
              </w:rPr>
              <w:t>委、</w:t>
            </w:r>
            <w:r>
              <w:rPr>
                <w:rFonts w:hint="eastAsia"/>
                <w:color w:val="auto"/>
                <w:spacing w:val="6"/>
                <w:lang w:eastAsia="zh-CN"/>
              </w:rPr>
              <w:t>县</w:t>
            </w:r>
            <w:r>
              <w:rPr>
                <w:color w:val="auto"/>
                <w:spacing w:val="6"/>
              </w:rPr>
              <w:t>政府指定的负责同志组织地质灾害应急处置工作，组织开展调查评估和协调推进善后处置工作，报告和发布</w:t>
            </w:r>
            <w:r>
              <w:rPr>
                <w:color w:val="auto"/>
                <w:spacing w:val="-1"/>
              </w:rPr>
              <w:t>地质灾害信息，指导各</w:t>
            </w:r>
            <w:r>
              <w:rPr>
                <w:rFonts w:hint="eastAsia"/>
                <w:color w:val="auto"/>
                <w:spacing w:val="-1"/>
                <w:lang w:eastAsia="zh-CN"/>
              </w:rPr>
              <w:t>县</w:t>
            </w:r>
            <w:r>
              <w:rPr>
                <w:color w:val="auto"/>
                <w:spacing w:val="-1"/>
              </w:rPr>
              <w:t>地质灾害应对等工作。</w:t>
            </w:r>
          </w:p>
        </w:tc>
      </w:tr>
      <w:tr w14:paraId="5667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71" w:type="dxa"/>
            <w:vMerge w:val="continue"/>
            <w:tcBorders>
              <w:top w:val="nil"/>
              <w:bottom w:val="nil"/>
            </w:tcBorders>
            <w:textDirection w:val="tbRlV"/>
            <w:vAlign w:val="top"/>
          </w:tcPr>
          <w:p w14:paraId="14EEF3BE">
            <w:pPr>
              <w:shd w:val="clear"/>
              <w:rPr>
                <w:rFonts w:ascii="Arial"/>
                <w:color w:val="auto"/>
                <w:sz w:val="21"/>
              </w:rPr>
            </w:pPr>
          </w:p>
        </w:tc>
        <w:tc>
          <w:tcPr>
            <w:tcW w:w="4030" w:type="dxa"/>
            <w:vAlign w:val="top"/>
          </w:tcPr>
          <w:p w14:paraId="0F9CC086">
            <w:pPr>
              <w:pStyle w:val="19"/>
              <w:shd w:val="clear"/>
              <w:spacing w:before="191" w:line="223" w:lineRule="auto"/>
              <w:ind w:left="918" w:firstLine="272" w:firstLineChars="100"/>
              <w:rPr>
                <w:color w:val="auto"/>
              </w:rPr>
            </w:pPr>
            <w:r>
              <w:rPr>
                <w:rFonts w:hint="eastAsia"/>
                <w:color w:val="auto"/>
                <w:spacing w:val="-4"/>
                <w:lang w:eastAsia="zh-CN"/>
              </w:rPr>
              <w:t>县</w:t>
            </w:r>
            <w:r>
              <w:rPr>
                <w:color w:val="auto"/>
                <w:spacing w:val="-4"/>
              </w:rPr>
              <w:t>应急管理局局长</w:t>
            </w:r>
          </w:p>
        </w:tc>
        <w:tc>
          <w:tcPr>
            <w:tcW w:w="9402" w:type="dxa"/>
            <w:vMerge w:val="continue"/>
            <w:tcBorders>
              <w:top w:val="nil"/>
              <w:bottom w:val="nil"/>
            </w:tcBorders>
            <w:vAlign w:val="top"/>
          </w:tcPr>
          <w:p w14:paraId="4139516C">
            <w:pPr>
              <w:shd w:val="clear"/>
              <w:rPr>
                <w:rFonts w:ascii="Arial"/>
                <w:color w:val="auto"/>
                <w:sz w:val="21"/>
              </w:rPr>
            </w:pPr>
          </w:p>
        </w:tc>
      </w:tr>
      <w:tr w14:paraId="123DB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1" w:type="dxa"/>
            <w:vMerge w:val="continue"/>
            <w:tcBorders>
              <w:top w:val="nil"/>
              <w:bottom w:val="nil"/>
            </w:tcBorders>
            <w:textDirection w:val="tbRlV"/>
            <w:vAlign w:val="top"/>
          </w:tcPr>
          <w:p w14:paraId="2DA94662">
            <w:pPr>
              <w:shd w:val="clear"/>
              <w:rPr>
                <w:rFonts w:ascii="Arial"/>
                <w:color w:val="auto"/>
                <w:sz w:val="21"/>
              </w:rPr>
            </w:pPr>
          </w:p>
        </w:tc>
        <w:tc>
          <w:tcPr>
            <w:tcW w:w="4030" w:type="dxa"/>
            <w:vAlign w:val="top"/>
          </w:tcPr>
          <w:p w14:paraId="715C3337">
            <w:pPr>
              <w:pStyle w:val="19"/>
              <w:shd w:val="clear"/>
              <w:spacing w:before="267" w:line="223" w:lineRule="auto"/>
              <w:ind w:firstLine="1096" w:firstLineChars="400"/>
              <w:rPr>
                <w:color w:val="auto"/>
              </w:rPr>
            </w:pPr>
            <w:r>
              <w:rPr>
                <w:rFonts w:hint="eastAsia"/>
                <w:color w:val="auto"/>
                <w:spacing w:val="-3"/>
                <w:lang w:eastAsia="zh-CN"/>
              </w:rPr>
              <w:t>县自然资源局</w:t>
            </w:r>
            <w:r>
              <w:rPr>
                <w:color w:val="auto"/>
                <w:spacing w:val="-3"/>
              </w:rPr>
              <w:t>局长</w:t>
            </w:r>
          </w:p>
        </w:tc>
        <w:tc>
          <w:tcPr>
            <w:tcW w:w="9402" w:type="dxa"/>
            <w:vMerge w:val="continue"/>
            <w:tcBorders>
              <w:top w:val="nil"/>
              <w:bottom w:val="nil"/>
            </w:tcBorders>
            <w:vAlign w:val="top"/>
          </w:tcPr>
          <w:p w14:paraId="0F8DAB9C">
            <w:pPr>
              <w:shd w:val="clear"/>
              <w:rPr>
                <w:rFonts w:ascii="Arial"/>
                <w:color w:val="auto"/>
                <w:sz w:val="21"/>
              </w:rPr>
            </w:pPr>
          </w:p>
        </w:tc>
      </w:tr>
      <w:tr w14:paraId="7156F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571" w:type="dxa"/>
            <w:vMerge w:val="continue"/>
            <w:tcBorders>
              <w:top w:val="nil"/>
              <w:bottom w:val="nil"/>
            </w:tcBorders>
            <w:textDirection w:val="tbRlV"/>
            <w:vAlign w:val="top"/>
          </w:tcPr>
          <w:p w14:paraId="704C4612">
            <w:pPr>
              <w:shd w:val="clear"/>
              <w:rPr>
                <w:rFonts w:ascii="Arial"/>
                <w:color w:val="auto"/>
                <w:sz w:val="21"/>
              </w:rPr>
            </w:pPr>
          </w:p>
        </w:tc>
        <w:tc>
          <w:tcPr>
            <w:tcW w:w="4030" w:type="dxa"/>
            <w:vAlign w:val="top"/>
          </w:tcPr>
          <w:p w14:paraId="2873D2B3">
            <w:pPr>
              <w:pStyle w:val="19"/>
              <w:shd w:val="clear"/>
              <w:spacing w:before="226" w:line="224" w:lineRule="auto"/>
              <w:ind w:left="1052"/>
              <w:rPr>
                <w:color w:val="auto"/>
              </w:rPr>
            </w:pPr>
            <w:r>
              <w:rPr>
                <w:rFonts w:hint="eastAsia"/>
                <w:color w:val="auto"/>
                <w:spacing w:val="-3"/>
                <w:lang w:eastAsia="zh-CN"/>
              </w:rPr>
              <w:t>县</w:t>
            </w:r>
            <w:r>
              <w:rPr>
                <w:color w:val="auto"/>
                <w:spacing w:val="-3"/>
              </w:rPr>
              <w:t>气象局局长</w:t>
            </w:r>
          </w:p>
        </w:tc>
        <w:tc>
          <w:tcPr>
            <w:tcW w:w="9402" w:type="dxa"/>
            <w:vMerge w:val="continue"/>
            <w:tcBorders>
              <w:top w:val="nil"/>
              <w:bottom w:val="nil"/>
            </w:tcBorders>
            <w:vAlign w:val="top"/>
          </w:tcPr>
          <w:p w14:paraId="59002644">
            <w:pPr>
              <w:shd w:val="clear"/>
              <w:rPr>
                <w:rFonts w:ascii="Arial"/>
                <w:color w:val="auto"/>
                <w:sz w:val="21"/>
              </w:rPr>
            </w:pPr>
          </w:p>
        </w:tc>
      </w:tr>
      <w:tr w14:paraId="1DD5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571" w:type="dxa"/>
            <w:vMerge w:val="continue"/>
            <w:tcBorders>
              <w:top w:val="nil"/>
              <w:bottom w:val="nil"/>
            </w:tcBorders>
            <w:textDirection w:val="tbRlV"/>
            <w:vAlign w:val="top"/>
          </w:tcPr>
          <w:p w14:paraId="2860FF84">
            <w:pPr>
              <w:shd w:val="clear"/>
              <w:rPr>
                <w:rFonts w:ascii="Arial"/>
                <w:color w:val="auto"/>
                <w:sz w:val="21"/>
              </w:rPr>
            </w:pPr>
          </w:p>
        </w:tc>
        <w:tc>
          <w:tcPr>
            <w:tcW w:w="4030" w:type="dxa"/>
            <w:vAlign w:val="top"/>
          </w:tcPr>
          <w:p w14:paraId="68934AC2">
            <w:pPr>
              <w:pStyle w:val="19"/>
              <w:shd w:val="clear"/>
              <w:spacing w:before="254" w:line="223" w:lineRule="auto"/>
              <w:ind w:left="352" w:firstLine="274" w:firstLineChars="100"/>
              <w:rPr>
                <w:rFonts w:hint="eastAsia" w:eastAsia="仿宋"/>
                <w:color w:val="auto"/>
                <w:lang w:eastAsia="zh-CN"/>
              </w:rPr>
            </w:pPr>
            <w:r>
              <w:rPr>
                <w:rFonts w:hint="eastAsia"/>
                <w:color w:val="auto"/>
                <w:spacing w:val="-3"/>
                <w:lang w:eastAsia="zh-CN"/>
              </w:rPr>
              <w:t>浑源县武装部分管领导</w:t>
            </w:r>
          </w:p>
        </w:tc>
        <w:tc>
          <w:tcPr>
            <w:tcW w:w="9402" w:type="dxa"/>
            <w:vMerge w:val="continue"/>
            <w:tcBorders>
              <w:top w:val="nil"/>
              <w:bottom w:val="nil"/>
            </w:tcBorders>
            <w:vAlign w:val="top"/>
          </w:tcPr>
          <w:p w14:paraId="06131829">
            <w:pPr>
              <w:shd w:val="clear"/>
              <w:rPr>
                <w:rFonts w:ascii="Arial"/>
                <w:color w:val="auto"/>
                <w:sz w:val="21"/>
              </w:rPr>
            </w:pPr>
          </w:p>
        </w:tc>
      </w:tr>
      <w:tr w14:paraId="17635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71" w:type="dxa"/>
            <w:vMerge w:val="continue"/>
            <w:tcBorders>
              <w:top w:val="nil"/>
              <w:bottom w:val="single" w:color="auto" w:sz="4" w:space="0"/>
            </w:tcBorders>
            <w:textDirection w:val="tbRlV"/>
            <w:vAlign w:val="top"/>
          </w:tcPr>
          <w:p w14:paraId="2C4A494F">
            <w:pPr>
              <w:shd w:val="clear"/>
              <w:rPr>
                <w:rFonts w:ascii="Arial"/>
                <w:color w:val="auto"/>
                <w:sz w:val="21"/>
              </w:rPr>
            </w:pPr>
          </w:p>
        </w:tc>
        <w:tc>
          <w:tcPr>
            <w:tcW w:w="4030" w:type="dxa"/>
            <w:tcBorders>
              <w:bottom w:val="single" w:color="auto" w:sz="4" w:space="0"/>
            </w:tcBorders>
            <w:vAlign w:val="top"/>
          </w:tcPr>
          <w:p w14:paraId="7C749572">
            <w:pPr>
              <w:pStyle w:val="19"/>
              <w:shd w:val="clear"/>
              <w:spacing w:before="284" w:line="224" w:lineRule="auto"/>
              <w:ind w:left="776"/>
              <w:rPr>
                <w:color w:val="auto"/>
              </w:rPr>
            </w:pPr>
            <w:r>
              <w:rPr>
                <w:color w:val="auto"/>
                <w:spacing w:val="-3"/>
              </w:rPr>
              <w:t>武警</w:t>
            </w:r>
            <w:r>
              <w:rPr>
                <w:rFonts w:hint="eastAsia"/>
                <w:color w:val="auto"/>
                <w:spacing w:val="-3"/>
                <w:lang w:eastAsia="zh-CN"/>
              </w:rPr>
              <w:t>浑源中队队</w:t>
            </w:r>
            <w:r>
              <w:rPr>
                <w:color w:val="auto"/>
                <w:spacing w:val="-3"/>
              </w:rPr>
              <w:t>长</w:t>
            </w:r>
          </w:p>
        </w:tc>
        <w:tc>
          <w:tcPr>
            <w:tcW w:w="9402" w:type="dxa"/>
            <w:vMerge w:val="continue"/>
            <w:tcBorders>
              <w:top w:val="nil"/>
              <w:bottom w:val="single" w:color="auto" w:sz="4" w:space="0"/>
            </w:tcBorders>
            <w:vAlign w:val="top"/>
          </w:tcPr>
          <w:p w14:paraId="3E695F5C">
            <w:pPr>
              <w:shd w:val="clear"/>
              <w:rPr>
                <w:rFonts w:ascii="Arial"/>
                <w:color w:val="auto"/>
                <w:sz w:val="21"/>
              </w:rPr>
            </w:pPr>
          </w:p>
        </w:tc>
      </w:tr>
      <w:tr w14:paraId="463A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571" w:type="dxa"/>
            <w:vMerge w:val="continue"/>
            <w:tcBorders>
              <w:top w:val="single" w:color="auto" w:sz="4" w:space="0"/>
            </w:tcBorders>
            <w:textDirection w:val="tbRlV"/>
            <w:vAlign w:val="top"/>
          </w:tcPr>
          <w:p w14:paraId="4F725C3F">
            <w:pPr>
              <w:shd w:val="clear"/>
              <w:rPr>
                <w:rFonts w:ascii="Arial"/>
                <w:color w:val="auto"/>
                <w:sz w:val="21"/>
              </w:rPr>
            </w:pPr>
          </w:p>
        </w:tc>
        <w:tc>
          <w:tcPr>
            <w:tcW w:w="4030" w:type="dxa"/>
            <w:tcBorders>
              <w:top w:val="single" w:color="auto" w:sz="4" w:space="0"/>
            </w:tcBorders>
            <w:vAlign w:val="top"/>
          </w:tcPr>
          <w:p w14:paraId="3C4D7483">
            <w:pPr>
              <w:pStyle w:val="19"/>
              <w:shd w:val="clear"/>
              <w:spacing w:before="313" w:line="222" w:lineRule="auto"/>
              <w:ind w:left="637"/>
              <w:rPr>
                <w:color w:val="auto"/>
              </w:rPr>
            </w:pPr>
            <w:r>
              <w:rPr>
                <w:rFonts w:hint="eastAsia"/>
                <w:color w:val="auto"/>
                <w:spacing w:val="-3"/>
                <w:lang w:eastAsia="zh-CN"/>
              </w:rPr>
              <w:t>县</w:t>
            </w:r>
            <w:r>
              <w:rPr>
                <w:color w:val="auto"/>
                <w:spacing w:val="-3"/>
              </w:rPr>
              <w:t>消防救援</w:t>
            </w:r>
            <w:r>
              <w:rPr>
                <w:rFonts w:hint="eastAsia"/>
                <w:color w:val="auto"/>
                <w:spacing w:val="-3"/>
                <w:lang w:eastAsia="zh-CN"/>
              </w:rPr>
              <w:t>大</w:t>
            </w:r>
            <w:r>
              <w:rPr>
                <w:color w:val="auto"/>
                <w:spacing w:val="-3"/>
              </w:rPr>
              <w:t>队</w:t>
            </w:r>
            <w:r>
              <w:rPr>
                <w:rFonts w:hint="eastAsia"/>
                <w:color w:val="auto"/>
                <w:spacing w:val="-3"/>
                <w:lang w:eastAsia="zh-CN"/>
              </w:rPr>
              <w:t>大队</w:t>
            </w:r>
            <w:r>
              <w:rPr>
                <w:color w:val="auto"/>
                <w:spacing w:val="-3"/>
              </w:rPr>
              <w:t>长</w:t>
            </w:r>
          </w:p>
        </w:tc>
        <w:tc>
          <w:tcPr>
            <w:tcW w:w="9402" w:type="dxa"/>
            <w:vMerge w:val="continue"/>
            <w:tcBorders>
              <w:top w:val="single" w:color="auto" w:sz="4" w:space="0"/>
            </w:tcBorders>
            <w:vAlign w:val="top"/>
          </w:tcPr>
          <w:p w14:paraId="4FD38C7E">
            <w:pPr>
              <w:shd w:val="clear"/>
              <w:rPr>
                <w:rFonts w:ascii="Arial"/>
                <w:color w:val="auto"/>
                <w:sz w:val="21"/>
              </w:rPr>
            </w:pPr>
          </w:p>
        </w:tc>
      </w:tr>
      <w:tr w14:paraId="4FF7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Merge w:val="restart"/>
            <w:tcBorders>
              <w:bottom w:val="nil"/>
            </w:tcBorders>
            <w:textDirection w:val="tbRlV"/>
            <w:vAlign w:val="top"/>
          </w:tcPr>
          <w:p w14:paraId="3A8A7BEE">
            <w:pPr>
              <w:pStyle w:val="19"/>
              <w:shd w:val="clear"/>
              <w:spacing w:before="141" w:line="201" w:lineRule="auto"/>
              <w:ind w:left="884"/>
              <w:rPr>
                <w:color w:val="auto"/>
              </w:rPr>
            </w:pPr>
            <w:r>
              <w:rPr>
                <w:color w:val="auto"/>
                <w:spacing w:val="7"/>
              </w:rPr>
              <w:t>成</w:t>
            </w:r>
            <w:r>
              <w:rPr>
                <w:color w:val="auto"/>
                <w:spacing w:val="12"/>
              </w:rPr>
              <w:t xml:space="preserve">      </w:t>
            </w:r>
            <w:r>
              <w:rPr>
                <w:color w:val="auto"/>
                <w:spacing w:val="7"/>
              </w:rPr>
              <w:t>员</w:t>
            </w:r>
          </w:p>
        </w:tc>
        <w:tc>
          <w:tcPr>
            <w:tcW w:w="4030" w:type="dxa"/>
            <w:vAlign w:val="top"/>
          </w:tcPr>
          <w:p w14:paraId="35A3154C">
            <w:pPr>
              <w:shd w:val="clear"/>
              <w:spacing w:line="242" w:lineRule="auto"/>
              <w:rPr>
                <w:rFonts w:ascii="Arial"/>
                <w:color w:val="auto"/>
                <w:sz w:val="21"/>
              </w:rPr>
            </w:pPr>
          </w:p>
          <w:p w14:paraId="125E43ED">
            <w:pPr>
              <w:pStyle w:val="19"/>
              <w:shd w:val="clear"/>
              <w:spacing w:before="91" w:line="223" w:lineRule="auto"/>
              <w:ind w:left="1338"/>
              <w:rPr>
                <w:color w:val="auto"/>
              </w:rPr>
            </w:pPr>
            <w:r>
              <w:rPr>
                <w:rFonts w:hint="eastAsia"/>
                <w:color w:val="auto"/>
                <w:spacing w:val="-5"/>
                <w:lang w:eastAsia="zh-CN"/>
              </w:rPr>
              <w:t>县</w:t>
            </w:r>
            <w:r>
              <w:rPr>
                <w:color w:val="auto"/>
                <w:spacing w:val="-5"/>
              </w:rPr>
              <w:t>委宣传部</w:t>
            </w:r>
          </w:p>
        </w:tc>
        <w:tc>
          <w:tcPr>
            <w:tcW w:w="9402" w:type="dxa"/>
            <w:vAlign w:val="top"/>
          </w:tcPr>
          <w:p w14:paraId="77272B0F">
            <w:pPr>
              <w:pStyle w:val="19"/>
              <w:shd w:val="clear"/>
              <w:spacing w:before="134" w:line="248" w:lineRule="auto"/>
              <w:ind w:left="121" w:right="107" w:firstLine="1"/>
              <w:rPr>
                <w:color w:val="auto"/>
                <w:spacing w:val="-2"/>
              </w:rPr>
            </w:pPr>
            <w:r>
              <w:rPr>
                <w:color w:val="auto"/>
                <w:spacing w:val="6"/>
              </w:rPr>
              <w:t>根据</w:t>
            </w:r>
            <w:r>
              <w:rPr>
                <w:rFonts w:hint="eastAsia"/>
                <w:color w:val="auto"/>
                <w:spacing w:val="6"/>
                <w:lang w:eastAsia="zh-CN"/>
              </w:rPr>
              <w:t>县</w:t>
            </w:r>
            <w:r>
              <w:rPr>
                <w:color w:val="auto"/>
                <w:spacing w:val="6"/>
              </w:rPr>
              <w:t>指挥部的统一部署，负责组织协调新闻媒体开展应急新闻报道</w:t>
            </w:r>
            <w:r>
              <w:rPr>
                <w:rFonts w:hint="eastAsia"/>
                <w:color w:val="auto"/>
                <w:spacing w:val="6"/>
                <w:lang w:eastAsia="zh-CN"/>
              </w:rPr>
              <w:t>，</w:t>
            </w:r>
            <w:r>
              <w:rPr>
                <w:color w:val="auto"/>
                <w:spacing w:val="6"/>
              </w:rPr>
              <w:t>积</w:t>
            </w:r>
            <w:r>
              <w:rPr>
                <w:color w:val="auto"/>
                <w:spacing w:val="-3"/>
              </w:rPr>
              <w:t>极引导舆论。</w:t>
            </w:r>
            <w:r>
              <w:rPr>
                <w:color w:val="auto"/>
                <w:spacing w:val="4"/>
              </w:rPr>
              <w:t>负责指挥有关单位开展舆情监测，主动正面发声，</w:t>
            </w:r>
            <w:r>
              <w:rPr>
                <w:color w:val="auto"/>
                <w:spacing w:val="-71"/>
              </w:rPr>
              <w:t xml:space="preserve"> </w:t>
            </w:r>
            <w:r>
              <w:rPr>
                <w:color w:val="auto"/>
                <w:spacing w:val="4"/>
              </w:rPr>
              <w:t>回应社会关切，科学稳</w:t>
            </w:r>
            <w:r>
              <w:rPr>
                <w:color w:val="auto"/>
                <w:spacing w:val="-2"/>
              </w:rPr>
              <w:t>妥做好网上舆情引导应对。</w:t>
            </w:r>
          </w:p>
          <w:p w14:paraId="7F1CA3FE">
            <w:pPr>
              <w:pStyle w:val="19"/>
              <w:shd w:val="clear"/>
              <w:spacing w:before="134" w:line="248" w:lineRule="auto"/>
              <w:ind w:left="121" w:right="107" w:firstLine="1"/>
              <w:rPr>
                <w:color w:val="auto"/>
                <w:spacing w:val="-2"/>
              </w:rPr>
            </w:pPr>
          </w:p>
        </w:tc>
      </w:tr>
      <w:tr w14:paraId="2A44C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71" w:type="dxa"/>
            <w:vMerge w:val="continue"/>
            <w:tcBorders>
              <w:top w:val="nil"/>
            </w:tcBorders>
            <w:textDirection w:val="tbRlV"/>
            <w:vAlign w:val="top"/>
          </w:tcPr>
          <w:p w14:paraId="0E73B1F7">
            <w:pPr>
              <w:shd w:val="clear"/>
              <w:rPr>
                <w:rFonts w:ascii="Arial"/>
                <w:color w:val="auto"/>
                <w:sz w:val="21"/>
              </w:rPr>
            </w:pPr>
          </w:p>
        </w:tc>
        <w:tc>
          <w:tcPr>
            <w:tcW w:w="4030" w:type="dxa"/>
            <w:vAlign w:val="top"/>
          </w:tcPr>
          <w:p w14:paraId="4C200611">
            <w:pPr>
              <w:shd w:val="clear"/>
              <w:spacing w:line="398" w:lineRule="auto"/>
              <w:rPr>
                <w:rFonts w:ascii="Arial"/>
                <w:color w:val="auto"/>
                <w:sz w:val="21"/>
              </w:rPr>
            </w:pPr>
          </w:p>
          <w:p w14:paraId="15F77285">
            <w:pPr>
              <w:pStyle w:val="19"/>
              <w:shd w:val="clear"/>
              <w:spacing w:before="91" w:line="223" w:lineRule="auto"/>
              <w:ind w:left="776"/>
              <w:rPr>
                <w:rFonts w:hint="eastAsia" w:eastAsia="仿宋"/>
                <w:color w:val="auto"/>
                <w:lang w:eastAsia="zh-CN"/>
              </w:rPr>
            </w:pPr>
            <w:r>
              <w:rPr>
                <w:rFonts w:hint="eastAsia"/>
                <w:color w:val="auto"/>
                <w:spacing w:val="-3"/>
                <w:lang w:eastAsia="zh-CN"/>
              </w:rPr>
              <w:t>县发展改革和科技局</w:t>
            </w:r>
          </w:p>
        </w:tc>
        <w:tc>
          <w:tcPr>
            <w:tcW w:w="9402" w:type="dxa"/>
            <w:vAlign w:val="top"/>
          </w:tcPr>
          <w:p w14:paraId="1160EA3D">
            <w:pPr>
              <w:pStyle w:val="19"/>
              <w:shd w:val="clear"/>
              <w:spacing w:before="291" w:line="248" w:lineRule="auto"/>
              <w:ind w:left="130" w:right="107"/>
              <w:rPr>
                <w:color w:val="auto"/>
                <w:spacing w:val="-2"/>
              </w:rPr>
            </w:pPr>
            <w:r>
              <w:rPr>
                <w:color w:val="auto"/>
                <w:spacing w:val="6"/>
              </w:rPr>
              <w:t>负责制定灾后基础设施重建方案，协调应急生活必需品和粮油储备调运相</w:t>
            </w:r>
            <w:r>
              <w:rPr>
                <w:color w:val="auto"/>
                <w:spacing w:val="-2"/>
              </w:rPr>
              <w:t>关工作，并加强灾区生活必需品</w:t>
            </w:r>
            <w:r>
              <w:rPr>
                <w:rFonts w:hint="eastAsia"/>
                <w:color w:val="auto"/>
                <w:spacing w:val="-2"/>
                <w:lang w:eastAsia="zh-CN"/>
              </w:rPr>
              <w:t>市</w:t>
            </w:r>
            <w:r>
              <w:rPr>
                <w:color w:val="auto"/>
                <w:spacing w:val="-2"/>
              </w:rPr>
              <w:t>场运行监测。</w:t>
            </w:r>
          </w:p>
          <w:p w14:paraId="0B8F84B8">
            <w:pPr>
              <w:pStyle w:val="19"/>
              <w:shd w:val="clear"/>
              <w:spacing w:before="291" w:line="248" w:lineRule="auto"/>
              <w:ind w:left="130" w:right="107"/>
              <w:rPr>
                <w:color w:val="auto"/>
                <w:spacing w:val="-2"/>
              </w:rPr>
            </w:pPr>
          </w:p>
        </w:tc>
      </w:tr>
    </w:tbl>
    <w:p w14:paraId="6CE06616">
      <w:pPr>
        <w:shd w:val="clear"/>
        <w:spacing w:line="205" w:lineRule="exact"/>
        <w:rPr>
          <w:rFonts w:ascii="Arial" w:hAnsi="Arial" w:eastAsia="Arial" w:cs="Arial"/>
          <w:color w:val="auto"/>
          <w:sz w:val="17"/>
          <w:szCs w:val="17"/>
        </w:rPr>
        <w:sectPr>
          <w:footerReference r:id="rId5" w:type="default"/>
          <w:pgSz w:w="16840" w:h="11900"/>
          <w:pgMar w:top="1011" w:right="1538" w:bottom="1340" w:left="1292" w:header="0" w:footer="1060" w:gutter="0"/>
          <w:pgNumType w:fmt="numberInDash"/>
          <w:cols w:space="720" w:num="1"/>
        </w:sectPr>
      </w:pPr>
    </w:p>
    <w:p w14:paraId="3A64885A">
      <w:pPr>
        <w:shd w:val="clear"/>
        <w:spacing w:before="164"/>
        <w:rPr>
          <w:color w:val="auto"/>
        </w:rPr>
      </w:pPr>
    </w:p>
    <w:tbl>
      <w:tblPr>
        <w:tblStyle w:val="18"/>
        <w:tblW w:w="14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4030"/>
        <w:gridCol w:w="9402"/>
      </w:tblGrid>
      <w:tr w14:paraId="12FAE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601" w:type="dxa"/>
            <w:gridSpan w:val="2"/>
            <w:vAlign w:val="top"/>
          </w:tcPr>
          <w:p w14:paraId="129413BE">
            <w:pPr>
              <w:shd w:val="clear"/>
              <w:spacing w:before="129" w:line="222" w:lineRule="auto"/>
              <w:ind w:left="1754"/>
              <w:rPr>
                <w:rFonts w:ascii="黑体" w:hAnsi="黑体" w:eastAsia="黑体" w:cs="黑体"/>
                <w:color w:val="auto"/>
                <w:sz w:val="28"/>
                <w:szCs w:val="28"/>
              </w:rPr>
            </w:pPr>
            <w:r>
              <w:rPr>
                <w:rFonts w:ascii="黑体" w:hAnsi="黑体" w:eastAsia="黑体" w:cs="黑体"/>
                <w:color w:val="auto"/>
                <w:spacing w:val="-4"/>
                <w:sz w:val="28"/>
                <w:szCs w:val="28"/>
              </w:rPr>
              <w:t>人员组成</w:t>
            </w:r>
          </w:p>
        </w:tc>
        <w:tc>
          <w:tcPr>
            <w:tcW w:w="9402" w:type="dxa"/>
            <w:vAlign w:val="top"/>
          </w:tcPr>
          <w:p w14:paraId="10DD5434">
            <w:pPr>
              <w:shd w:val="clear"/>
              <w:spacing w:before="129" w:line="222" w:lineRule="auto"/>
              <w:ind w:left="3726"/>
              <w:rPr>
                <w:rFonts w:ascii="黑体" w:hAnsi="黑体" w:eastAsia="黑体" w:cs="黑体"/>
                <w:color w:val="auto"/>
                <w:sz w:val="28"/>
                <w:szCs w:val="28"/>
              </w:rPr>
            </w:pPr>
            <w:r>
              <w:rPr>
                <w:rFonts w:ascii="黑体" w:hAnsi="黑体" w:eastAsia="黑体" w:cs="黑体"/>
                <w:color w:val="auto"/>
                <w:spacing w:val="-2"/>
                <w:sz w:val="28"/>
                <w:szCs w:val="28"/>
              </w:rPr>
              <w:t>指挥机构及职责</w:t>
            </w:r>
          </w:p>
        </w:tc>
      </w:tr>
      <w:tr w14:paraId="5AC7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571" w:type="dxa"/>
            <w:vMerge w:val="restart"/>
            <w:tcBorders>
              <w:bottom w:val="nil"/>
            </w:tcBorders>
            <w:textDirection w:val="tbRlV"/>
            <w:vAlign w:val="top"/>
          </w:tcPr>
          <w:p w14:paraId="1F0CD68E">
            <w:pPr>
              <w:pStyle w:val="19"/>
              <w:shd w:val="clear"/>
              <w:spacing w:before="141" w:line="201" w:lineRule="auto"/>
              <w:ind w:left="3678"/>
              <w:rPr>
                <w:color w:val="auto"/>
                <w:sz w:val="28"/>
                <w:szCs w:val="28"/>
              </w:rPr>
            </w:pPr>
            <w:r>
              <w:rPr>
                <w:color w:val="auto"/>
                <w:spacing w:val="7"/>
                <w:sz w:val="28"/>
                <w:szCs w:val="28"/>
              </w:rPr>
              <w:t>成</w:t>
            </w:r>
            <w:r>
              <w:rPr>
                <w:color w:val="auto"/>
                <w:spacing w:val="8"/>
                <w:sz w:val="28"/>
                <w:szCs w:val="28"/>
              </w:rPr>
              <w:t xml:space="preserve">        </w:t>
            </w:r>
            <w:r>
              <w:rPr>
                <w:color w:val="auto"/>
                <w:spacing w:val="7"/>
                <w:sz w:val="28"/>
                <w:szCs w:val="28"/>
              </w:rPr>
              <w:t>员</w:t>
            </w:r>
          </w:p>
        </w:tc>
        <w:tc>
          <w:tcPr>
            <w:tcW w:w="4030" w:type="dxa"/>
            <w:vAlign w:val="top"/>
          </w:tcPr>
          <w:p w14:paraId="60D1CA3B">
            <w:pPr>
              <w:shd w:val="clear"/>
              <w:spacing w:line="297" w:lineRule="auto"/>
              <w:rPr>
                <w:rFonts w:ascii="Arial"/>
                <w:color w:val="auto"/>
                <w:sz w:val="21"/>
                <w:szCs w:val="24"/>
              </w:rPr>
            </w:pPr>
          </w:p>
          <w:p w14:paraId="00F41909">
            <w:pPr>
              <w:shd w:val="clear"/>
              <w:spacing w:line="298" w:lineRule="auto"/>
              <w:rPr>
                <w:rFonts w:ascii="Arial"/>
                <w:color w:val="auto"/>
                <w:sz w:val="21"/>
                <w:szCs w:val="24"/>
              </w:rPr>
            </w:pPr>
          </w:p>
          <w:p w14:paraId="11396FDF">
            <w:pPr>
              <w:pStyle w:val="19"/>
              <w:shd w:val="clear"/>
              <w:spacing w:before="91" w:line="223" w:lineRule="auto"/>
              <w:ind w:left="1477"/>
              <w:rPr>
                <w:color w:val="auto"/>
                <w:sz w:val="28"/>
                <w:szCs w:val="28"/>
              </w:rPr>
            </w:pPr>
            <w:r>
              <w:rPr>
                <w:rFonts w:hint="eastAsia"/>
                <w:color w:val="auto"/>
                <w:spacing w:val="-7"/>
                <w:sz w:val="28"/>
                <w:szCs w:val="28"/>
                <w:lang w:eastAsia="zh-CN"/>
              </w:rPr>
              <w:t>县</w:t>
            </w:r>
            <w:r>
              <w:rPr>
                <w:color w:val="auto"/>
                <w:spacing w:val="-7"/>
                <w:sz w:val="28"/>
                <w:szCs w:val="28"/>
              </w:rPr>
              <w:t>教育局</w:t>
            </w:r>
          </w:p>
        </w:tc>
        <w:tc>
          <w:tcPr>
            <w:tcW w:w="9402" w:type="dxa"/>
            <w:vAlign w:val="top"/>
          </w:tcPr>
          <w:p w14:paraId="1A4ED750">
            <w:pPr>
              <w:shd w:val="clear"/>
              <w:spacing w:line="398" w:lineRule="auto"/>
              <w:rPr>
                <w:rFonts w:ascii="Arial"/>
                <w:color w:val="auto"/>
                <w:sz w:val="21"/>
                <w:szCs w:val="24"/>
              </w:rPr>
            </w:pPr>
          </w:p>
          <w:p w14:paraId="00C596FA">
            <w:pPr>
              <w:pStyle w:val="19"/>
              <w:shd w:val="clear"/>
              <w:spacing w:before="91" w:line="248" w:lineRule="auto"/>
              <w:ind w:left="134" w:right="107" w:hanging="4"/>
              <w:rPr>
                <w:color w:val="auto"/>
                <w:sz w:val="28"/>
                <w:szCs w:val="28"/>
              </w:rPr>
            </w:pPr>
            <w:r>
              <w:rPr>
                <w:color w:val="auto"/>
                <w:spacing w:val="6"/>
                <w:sz w:val="28"/>
                <w:szCs w:val="28"/>
              </w:rPr>
              <w:t>负责灾害发生时在校学生的安全管理和疏散工作，妥善解决灾区学生的就</w:t>
            </w:r>
            <w:r>
              <w:rPr>
                <w:color w:val="auto"/>
                <w:spacing w:val="-1"/>
                <w:sz w:val="28"/>
                <w:szCs w:val="28"/>
              </w:rPr>
              <w:t>学问题；负责对学生进行防灾减灾应急知识的宣传教育</w:t>
            </w:r>
            <w:r>
              <w:rPr>
                <w:color w:val="auto"/>
                <w:spacing w:val="-2"/>
                <w:sz w:val="28"/>
                <w:szCs w:val="28"/>
              </w:rPr>
              <w:t>工作。</w:t>
            </w:r>
          </w:p>
        </w:tc>
      </w:tr>
      <w:tr w14:paraId="48A2D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571" w:type="dxa"/>
            <w:vMerge w:val="continue"/>
            <w:tcBorders>
              <w:top w:val="nil"/>
              <w:bottom w:val="nil"/>
            </w:tcBorders>
            <w:textDirection w:val="tbRlV"/>
            <w:vAlign w:val="top"/>
          </w:tcPr>
          <w:p w14:paraId="223E262D">
            <w:pPr>
              <w:shd w:val="clear"/>
              <w:rPr>
                <w:rFonts w:ascii="Arial"/>
                <w:color w:val="auto"/>
                <w:sz w:val="21"/>
                <w:szCs w:val="24"/>
              </w:rPr>
            </w:pPr>
          </w:p>
        </w:tc>
        <w:tc>
          <w:tcPr>
            <w:tcW w:w="4030" w:type="dxa"/>
            <w:vAlign w:val="top"/>
          </w:tcPr>
          <w:p w14:paraId="59B614B5">
            <w:pPr>
              <w:shd w:val="clear"/>
              <w:spacing w:line="285" w:lineRule="auto"/>
              <w:rPr>
                <w:rFonts w:ascii="Arial"/>
                <w:color w:val="auto"/>
                <w:sz w:val="21"/>
                <w:szCs w:val="24"/>
              </w:rPr>
            </w:pPr>
          </w:p>
          <w:p w14:paraId="0494D76C">
            <w:pPr>
              <w:shd w:val="clear"/>
              <w:spacing w:line="285" w:lineRule="auto"/>
              <w:rPr>
                <w:rFonts w:ascii="Arial"/>
                <w:color w:val="auto"/>
                <w:sz w:val="21"/>
                <w:szCs w:val="24"/>
              </w:rPr>
            </w:pPr>
          </w:p>
          <w:p w14:paraId="0832F18A">
            <w:pPr>
              <w:shd w:val="clear"/>
              <w:spacing w:line="286" w:lineRule="auto"/>
              <w:rPr>
                <w:rFonts w:ascii="Arial"/>
                <w:color w:val="auto"/>
                <w:sz w:val="21"/>
                <w:szCs w:val="24"/>
              </w:rPr>
            </w:pPr>
          </w:p>
          <w:p w14:paraId="2F1F1465">
            <w:pPr>
              <w:shd w:val="clear"/>
              <w:spacing w:line="286" w:lineRule="auto"/>
              <w:rPr>
                <w:rFonts w:ascii="Arial"/>
                <w:color w:val="auto"/>
                <w:sz w:val="21"/>
                <w:szCs w:val="24"/>
              </w:rPr>
            </w:pPr>
          </w:p>
          <w:p w14:paraId="5D524D67">
            <w:pPr>
              <w:pStyle w:val="19"/>
              <w:shd w:val="clear"/>
              <w:spacing w:before="91" w:line="222" w:lineRule="auto"/>
              <w:ind w:left="918" w:firstLine="544" w:firstLineChars="200"/>
              <w:rPr>
                <w:color w:val="auto"/>
                <w:sz w:val="28"/>
                <w:szCs w:val="28"/>
              </w:rPr>
            </w:pPr>
            <w:r>
              <w:rPr>
                <w:rFonts w:hint="eastAsia"/>
                <w:color w:val="auto"/>
                <w:spacing w:val="-4"/>
                <w:sz w:val="28"/>
                <w:szCs w:val="28"/>
                <w:lang w:eastAsia="zh-CN"/>
              </w:rPr>
              <w:t>县工信局</w:t>
            </w:r>
          </w:p>
        </w:tc>
        <w:tc>
          <w:tcPr>
            <w:tcW w:w="9402" w:type="dxa"/>
            <w:vAlign w:val="top"/>
          </w:tcPr>
          <w:p w14:paraId="33BC1A7D">
            <w:pPr>
              <w:shd w:val="clear"/>
              <w:spacing w:line="348" w:lineRule="auto"/>
              <w:rPr>
                <w:rFonts w:ascii="Arial"/>
                <w:color w:val="auto"/>
                <w:sz w:val="21"/>
                <w:szCs w:val="24"/>
              </w:rPr>
            </w:pPr>
          </w:p>
          <w:p w14:paraId="09BF0DE8">
            <w:pPr>
              <w:pStyle w:val="19"/>
              <w:shd w:val="clear"/>
              <w:spacing w:before="91" w:line="257" w:lineRule="auto"/>
              <w:ind w:left="122" w:right="107" w:firstLine="7"/>
              <w:jc w:val="both"/>
              <w:rPr>
                <w:color w:val="auto"/>
                <w:sz w:val="28"/>
                <w:szCs w:val="28"/>
              </w:rPr>
            </w:pPr>
            <w:r>
              <w:rPr>
                <w:color w:val="auto"/>
                <w:spacing w:val="15"/>
                <w:sz w:val="28"/>
                <w:szCs w:val="28"/>
              </w:rPr>
              <w:t>负责紧急状态下重要物资生产组织工作；按照职责核实工业企业受损情</w:t>
            </w:r>
            <w:r>
              <w:rPr>
                <w:color w:val="auto"/>
                <w:spacing w:val="6"/>
                <w:sz w:val="28"/>
                <w:szCs w:val="28"/>
              </w:rPr>
              <w:t>况，指导制定工业恢复生产方案和生产自救。配合有关部门、督促受灾直属企业开展次生灾害抢险、排险工作；配合相关部门对监管企业安全生产和应急管理工作检查、督查，核实上报企业受损情况。负责组织协调各电</w:t>
            </w:r>
            <w:r>
              <w:rPr>
                <w:color w:val="auto"/>
                <w:spacing w:val="-2"/>
                <w:sz w:val="28"/>
                <w:szCs w:val="28"/>
              </w:rPr>
              <w:t>信运营企业做好应急保障工作。</w:t>
            </w:r>
          </w:p>
        </w:tc>
      </w:tr>
      <w:tr w14:paraId="67D4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571" w:type="dxa"/>
            <w:vMerge w:val="continue"/>
            <w:tcBorders>
              <w:top w:val="nil"/>
              <w:bottom w:val="nil"/>
            </w:tcBorders>
            <w:textDirection w:val="tbRlV"/>
            <w:vAlign w:val="top"/>
          </w:tcPr>
          <w:p w14:paraId="54693CC2">
            <w:pPr>
              <w:shd w:val="clear"/>
              <w:rPr>
                <w:rFonts w:ascii="Arial"/>
                <w:color w:val="auto"/>
                <w:sz w:val="21"/>
                <w:szCs w:val="24"/>
              </w:rPr>
            </w:pPr>
          </w:p>
        </w:tc>
        <w:tc>
          <w:tcPr>
            <w:tcW w:w="4030" w:type="dxa"/>
            <w:vAlign w:val="top"/>
          </w:tcPr>
          <w:p w14:paraId="76BBEE46">
            <w:pPr>
              <w:shd w:val="clear"/>
              <w:spacing w:line="262" w:lineRule="auto"/>
              <w:rPr>
                <w:rFonts w:ascii="Arial"/>
                <w:color w:val="auto"/>
                <w:sz w:val="21"/>
                <w:szCs w:val="24"/>
              </w:rPr>
            </w:pPr>
          </w:p>
          <w:p w14:paraId="55721498">
            <w:pPr>
              <w:shd w:val="clear"/>
              <w:spacing w:line="262" w:lineRule="auto"/>
              <w:rPr>
                <w:rFonts w:ascii="Arial"/>
                <w:color w:val="auto"/>
                <w:sz w:val="21"/>
                <w:szCs w:val="24"/>
              </w:rPr>
            </w:pPr>
          </w:p>
          <w:p w14:paraId="12FF0946">
            <w:pPr>
              <w:shd w:val="clear"/>
              <w:spacing w:line="263" w:lineRule="auto"/>
              <w:rPr>
                <w:rFonts w:ascii="Arial"/>
                <w:color w:val="auto"/>
                <w:sz w:val="21"/>
                <w:szCs w:val="24"/>
              </w:rPr>
            </w:pPr>
          </w:p>
          <w:p w14:paraId="670E0602">
            <w:pPr>
              <w:pStyle w:val="19"/>
              <w:shd w:val="clear"/>
              <w:spacing w:before="91" w:line="223" w:lineRule="auto"/>
              <w:ind w:left="1477"/>
              <w:rPr>
                <w:color w:val="auto"/>
                <w:sz w:val="28"/>
                <w:szCs w:val="28"/>
              </w:rPr>
            </w:pPr>
            <w:r>
              <w:rPr>
                <w:rFonts w:hint="eastAsia"/>
                <w:color w:val="auto"/>
                <w:spacing w:val="-7"/>
                <w:sz w:val="28"/>
                <w:szCs w:val="28"/>
                <w:lang w:eastAsia="zh-CN"/>
              </w:rPr>
              <w:t>县</w:t>
            </w:r>
            <w:r>
              <w:rPr>
                <w:color w:val="auto"/>
                <w:spacing w:val="-7"/>
                <w:sz w:val="28"/>
                <w:szCs w:val="28"/>
              </w:rPr>
              <w:t>公安局</w:t>
            </w:r>
          </w:p>
        </w:tc>
        <w:tc>
          <w:tcPr>
            <w:tcW w:w="9402" w:type="dxa"/>
            <w:vAlign w:val="top"/>
          </w:tcPr>
          <w:p w14:paraId="332118F8">
            <w:pPr>
              <w:pStyle w:val="19"/>
              <w:shd w:val="clear"/>
              <w:spacing w:before="83" w:line="252" w:lineRule="auto"/>
              <w:ind w:left="123" w:right="107" w:firstLine="6"/>
              <w:rPr>
                <w:color w:val="auto"/>
                <w:sz w:val="28"/>
                <w:szCs w:val="28"/>
              </w:rPr>
            </w:pPr>
            <w:r>
              <w:rPr>
                <w:color w:val="auto"/>
                <w:spacing w:val="6"/>
                <w:sz w:val="28"/>
                <w:szCs w:val="28"/>
              </w:rPr>
              <w:t>负责协助灾区政府对遇险人员进行搜救，动员受灾害威胁的居民以及其他人员疏散、转移到安全地带；确定伤亡和失联人员身份；对遇难人员遗体进行尸体检验、数据勘验和身份识别；协助灾区有关部门维护社会治安，依法打击违法犯罪活动；迅速疏导交通，对灾区和通往灾区的道路实行交</w:t>
            </w:r>
            <w:r>
              <w:rPr>
                <w:color w:val="auto"/>
                <w:spacing w:val="-2"/>
                <w:sz w:val="28"/>
                <w:szCs w:val="28"/>
              </w:rPr>
              <w:t>通管制，保证抢险救灾工作顺利进行。</w:t>
            </w:r>
          </w:p>
        </w:tc>
      </w:tr>
      <w:tr w14:paraId="4A252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71" w:type="dxa"/>
            <w:vMerge w:val="continue"/>
            <w:tcBorders>
              <w:top w:val="nil"/>
              <w:bottom w:val="nil"/>
            </w:tcBorders>
            <w:textDirection w:val="tbRlV"/>
            <w:vAlign w:val="top"/>
          </w:tcPr>
          <w:p w14:paraId="448CFB22">
            <w:pPr>
              <w:shd w:val="clear"/>
              <w:rPr>
                <w:rFonts w:ascii="Arial"/>
                <w:color w:val="auto"/>
                <w:sz w:val="21"/>
                <w:szCs w:val="24"/>
              </w:rPr>
            </w:pPr>
          </w:p>
        </w:tc>
        <w:tc>
          <w:tcPr>
            <w:tcW w:w="4030" w:type="dxa"/>
            <w:vAlign w:val="top"/>
          </w:tcPr>
          <w:p w14:paraId="52D96CE7">
            <w:pPr>
              <w:shd w:val="clear"/>
              <w:spacing w:line="382" w:lineRule="auto"/>
              <w:rPr>
                <w:rFonts w:ascii="Arial"/>
                <w:color w:val="auto"/>
                <w:sz w:val="21"/>
                <w:szCs w:val="24"/>
              </w:rPr>
            </w:pPr>
          </w:p>
          <w:p w14:paraId="4B4DAB25">
            <w:pPr>
              <w:pStyle w:val="19"/>
              <w:shd w:val="clear"/>
              <w:spacing w:before="91" w:line="223" w:lineRule="auto"/>
              <w:ind w:left="1477"/>
              <w:rPr>
                <w:color w:val="auto"/>
                <w:sz w:val="28"/>
                <w:szCs w:val="28"/>
              </w:rPr>
            </w:pPr>
            <w:r>
              <w:rPr>
                <w:rFonts w:hint="eastAsia"/>
                <w:color w:val="auto"/>
                <w:spacing w:val="-7"/>
                <w:sz w:val="28"/>
                <w:szCs w:val="28"/>
                <w:lang w:eastAsia="zh-CN"/>
              </w:rPr>
              <w:t>县</w:t>
            </w:r>
            <w:r>
              <w:rPr>
                <w:color w:val="auto"/>
                <w:spacing w:val="-7"/>
                <w:sz w:val="28"/>
                <w:szCs w:val="28"/>
              </w:rPr>
              <w:t>民政局</w:t>
            </w:r>
          </w:p>
        </w:tc>
        <w:tc>
          <w:tcPr>
            <w:tcW w:w="9402" w:type="dxa"/>
            <w:vAlign w:val="top"/>
          </w:tcPr>
          <w:p w14:paraId="1F92BFD3">
            <w:pPr>
              <w:pStyle w:val="19"/>
              <w:shd w:val="clear"/>
              <w:spacing w:before="275" w:line="247" w:lineRule="auto"/>
              <w:ind w:left="121" w:right="108" w:firstLine="8"/>
              <w:rPr>
                <w:color w:val="auto"/>
                <w:sz w:val="28"/>
                <w:szCs w:val="28"/>
              </w:rPr>
            </w:pPr>
            <w:r>
              <w:rPr>
                <w:color w:val="auto"/>
                <w:spacing w:val="15"/>
                <w:sz w:val="28"/>
                <w:szCs w:val="28"/>
              </w:rPr>
              <w:t>负责灾区遇难人员遗体火化工作；负责城乡居民最低生活保障、临时救</w:t>
            </w:r>
            <w:r>
              <w:rPr>
                <w:color w:val="auto"/>
                <w:spacing w:val="-1"/>
                <w:sz w:val="28"/>
                <w:szCs w:val="28"/>
              </w:rPr>
              <w:t>助、特困人员救助供养、生活无着流浪乞讨人员救助工作。</w:t>
            </w:r>
          </w:p>
        </w:tc>
      </w:tr>
      <w:tr w14:paraId="072DB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571" w:type="dxa"/>
            <w:vMerge w:val="continue"/>
            <w:tcBorders>
              <w:top w:val="nil"/>
            </w:tcBorders>
            <w:textDirection w:val="tbRlV"/>
            <w:vAlign w:val="top"/>
          </w:tcPr>
          <w:p w14:paraId="1245353D">
            <w:pPr>
              <w:shd w:val="clear"/>
              <w:rPr>
                <w:rFonts w:ascii="Arial"/>
                <w:color w:val="auto"/>
                <w:sz w:val="21"/>
                <w:szCs w:val="24"/>
              </w:rPr>
            </w:pPr>
          </w:p>
        </w:tc>
        <w:tc>
          <w:tcPr>
            <w:tcW w:w="4030" w:type="dxa"/>
            <w:vAlign w:val="top"/>
          </w:tcPr>
          <w:p w14:paraId="58B95345">
            <w:pPr>
              <w:pStyle w:val="19"/>
              <w:shd w:val="clear"/>
              <w:spacing w:before="308" w:line="223" w:lineRule="auto"/>
              <w:ind w:left="1477"/>
              <w:rPr>
                <w:color w:val="auto"/>
                <w:sz w:val="28"/>
                <w:szCs w:val="28"/>
              </w:rPr>
            </w:pPr>
            <w:r>
              <w:rPr>
                <w:rFonts w:hint="eastAsia"/>
                <w:color w:val="auto"/>
                <w:spacing w:val="-7"/>
                <w:sz w:val="28"/>
                <w:szCs w:val="28"/>
                <w:lang w:eastAsia="zh-CN"/>
              </w:rPr>
              <w:t>县</w:t>
            </w:r>
            <w:r>
              <w:rPr>
                <w:color w:val="auto"/>
                <w:spacing w:val="-7"/>
                <w:sz w:val="28"/>
                <w:szCs w:val="28"/>
              </w:rPr>
              <w:t>司法局</w:t>
            </w:r>
          </w:p>
        </w:tc>
        <w:tc>
          <w:tcPr>
            <w:tcW w:w="9402" w:type="dxa"/>
            <w:vAlign w:val="top"/>
          </w:tcPr>
          <w:p w14:paraId="51381191">
            <w:pPr>
              <w:pStyle w:val="19"/>
              <w:shd w:val="clear"/>
              <w:spacing w:before="109" w:line="243" w:lineRule="auto"/>
              <w:ind w:left="131" w:right="107" w:hanging="1"/>
              <w:rPr>
                <w:color w:val="auto"/>
                <w:sz w:val="28"/>
                <w:szCs w:val="28"/>
              </w:rPr>
            </w:pPr>
            <w:r>
              <w:rPr>
                <w:color w:val="auto"/>
                <w:spacing w:val="6"/>
                <w:sz w:val="28"/>
                <w:szCs w:val="28"/>
              </w:rPr>
              <w:t>负责司法系统监狱、戒毒场所等特殊单位及群体的监控和转移安置，提供</w:t>
            </w:r>
            <w:r>
              <w:rPr>
                <w:color w:val="auto"/>
                <w:spacing w:val="-6"/>
                <w:sz w:val="28"/>
                <w:szCs w:val="28"/>
              </w:rPr>
              <w:t>法律服务。</w:t>
            </w:r>
          </w:p>
        </w:tc>
      </w:tr>
    </w:tbl>
    <w:p w14:paraId="5D903D66">
      <w:pPr>
        <w:shd w:val="clear"/>
        <w:spacing w:before="164"/>
        <w:rPr>
          <w:color w:val="auto"/>
        </w:rPr>
      </w:pPr>
    </w:p>
    <w:tbl>
      <w:tblPr>
        <w:tblStyle w:val="18"/>
        <w:tblW w:w="14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4030"/>
        <w:gridCol w:w="9402"/>
      </w:tblGrid>
      <w:tr w14:paraId="6FE9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571" w:type="dxa"/>
            <w:vMerge w:val="restart"/>
            <w:tcBorders>
              <w:bottom w:val="nil"/>
            </w:tcBorders>
            <w:textDirection w:val="tbRlV"/>
            <w:vAlign w:val="top"/>
          </w:tcPr>
          <w:p w14:paraId="13637DDF">
            <w:pPr>
              <w:pStyle w:val="19"/>
              <w:shd w:val="clear"/>
              <w:spacing w:before="142" w:line="200" w:lineRule="auto"/>
              <w:ind w:left="3280"/>
              <w:rPr>
                <w:color w:val="auto"/>
              </w:rPr>
            </w:pPr>
            <w:r>
              <w:rPr>
                <w:color w:val="auto"/>
                <w:spacing w:val="7"/>
                <w:position w:val="1"/>
              </w:rPr>
              <w:t>成</w:t>
            </w:r>
            <w:r>
              <w:rPr>
                <w:color w:val="auto"/>
                <w:spacing w:val="8"/>
                <w:position w:val="1"/>
              </w:rPr>
              <w:t xml:space="preserve">        </w:t>
            </w:r>
            <w:r>
              <w:rPr>
                <w:color w:val="auto"/>
                <w:spacing w:val="7"/>
                <w:position w:val="-1"/>
              </w:rPr>
              <w:t>员</w:t>
            </w:r>
          </w:p>
        </w:tc>
        <w:tc>
          <w:tcPr>
            <w:tcW w:w="4030" w:type="dxa"/>
            <w:vAlign w:val="top"/>
          </w:tcPr>
          <w:p w14:paraId="183E556D">
            <w:pPr>
              <w:shd w:val="clear"/>
              <w:spacing w:line="308" w:lineRule="auto"/>
              <w:rPr>
                <w:rFonts w:ascii="Arial"/>
                <w:color w:val="auto"/>
                <w:sz w:val="21"/>
              </w:rPr>
            </w:pPr>
          </w:p>
          <w:p w14:paraId="1D050F27">
            <w:pPr>
              <w:shd w:val="clear"/>
              <w:spacing w:line="309" w:lineRule="auto"/>
              <w:rPr>
                <w:rFonts w:ascii="Arial"/>
                <w:color w:val="auto"/>
                <w:sz w:val="21"/>
              </w:rPr>
            </w:pPr>
          </w:p>
          <w:p w14:paraId="238512D2">
            <w:pPr>
              <w:pStyle w:val="19"/>
              <w:shd w:val="clear"/>
              <w:spacing w:before="91" w:line="223" w:lineRule="auto"/>
              <w:ind w:left="1477"/>
              <w:rPr>
                <w:color w:val="auto"/>
              </w:rPr>
            </w:pPr>
            <w:r>
              <w:rPr>
                <w:rFonts w:hint="eastAsia"/>
                <w:color w:val="auto"/>
                <w:spacing w:val="-7"/>
                <w:lang w:eastAsia="zh-CN"/>
              </w:rPr>
              <w:t>县</w:t>
            </w:r>
            <w:r>
              <w:rPr>
                <w:color w:val="auto"/>
                <w:spacing w:val="-7"/>
              </w:rPr>
              <w:t>财政局</w:t>
            </w:r>
          </w:p>
        </w:tc>
        <w:tc>
          <w:tcPr>
            <w:tcW w:w="9402" w:type="dxa"/>
            <w:vAlign w:val="top"/>
          </w:tcPr>
          <w:p w14:paraId="5D5CC1A7">
            <w:pPr>
              <w:pStyle w:val="19"/>
              <w:shd w:val="clear"/>
              <w:spacing w:before="111" w:line="255" w:lineRule="auto"/>
              <w:ind w:left="123" w:right="107" w:hanging="1"/>
              <w:rPr>
                <w:color w:val="auto"/>
              </w:rPr>
            </w:pPr>
            <w:r>
              <w:rPr>
                <w:color w:val="auto"/>
                <w:spacing w:val="6"/>
              </w:rPr>
              <w:t>按照分级负担原则，负责救灾资金筹集、管理</w:t>
            </w:r>
            <w:r>
              <w:rPr>
                <w:rFonts w:hint="eastAsia"/>
                <w:color w:val="auto"/>
                <w:spacing w:val="6"/>
                <w:lang w:eastAsia="zh-CN"/>
              </w:rPr>
              <w:t>，</w:t>
            </w:r>
            <w:r>
              <w:rPr>
                <w:color w:val="auto"/>
                <w:spacing w:val="6"/>
              </w:rPr>
              <w:t>配合做好财政救灾资金、政府间捐赠资金及其他社会捐赠资金使用管理；负责组织所需应急救援物资的政府采购，并对</w:t>
            </w:r>
            <w:r>
              <w:rPr>
                <w:rFonts w:hint="eastAsia"/>
                <w:color w:val="auto"/>
                <w:spacing w:val="6"/>
                <w:lang w:eastAsia="zh-CN"/>
              </w:rPr>
              <w:t>县</w:t>
            </w:r>
            <w:r>
              <w:rPr>
                <w:color w:val="auto"/>
                <w:spacing w:val="6"/>
              </w:rPr>
              <w:t>应急救援物资的采购、储存</w:t>
            </w:r>
            <w:r>
              <w:rPr>
                <w:rFonts w:hint="eastAsia"/>
                <w:color w:val="auto"/>
                <w:spacing w:val="6"/>
                <w:lang w:eastAsia="zh-CN"/>
              </w:rPr>
              <w:t>、</w:t>
            </w:r>
            <w:r>
              <w:rPr>
                <w:color w:val="auto"/>
                <w:spacing w:val="6"/>
              </w:rPr>
              <w:t>调运所需资金予以保</w:t>
            </w:r>
            <w:r>
              <w:rPr>
                <w:color w:val="auto"/>
                <w:spacing w:val="-10"/>
              </w:rPr>
              <w:t>障。</w:t>
            </w:r>
          </w:p>
        </w:tc>
      </w:tr>
      <w:tr w14:paraId="77E9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1" w:type="dxa"/>
            <w:vMerge w:val="continue"/>
            <w:tcBorders>
              <w:top w:val="nil"/>
              <w:bottom w:val="nil"/>
            </w:tcBorders>
            <w:textDirection w:val="tbRlV"/>
            <w:vAlign w:val="top"/>
          </w:tcPr>
          <w:p w14:paraId="0559F121">
            <w:pPr>
              <w:shd w:val="clear"/>
              <w:rPr>
                <w:rFonts w:ascii="Arial"/>
                <w:color w:val="auto"/>
                <w:sz w:val="21"/>
              </w:rPr>
            </w:pPr>
          </w:p>
        </w:tc>
        <w:tc>
          <w:tcPr>
            <w:tcW w:w="4030" w:type="dxa"/>
            <w:vAlign w:val="top"/>
          </w:tcPr>
          <w:p w14:paraId="4340B5B1">
            <w:pPr>
              <w:pStyle w:val="19"/>
              <w:shd w:val="clear"/>
              <w:spacing w:before="304" w:line="222" w:lineRule="auto"/>
              <w:ind w:firstLine="1370" w:firstLineChars="500"/>
              <w:rPr>
                <w:color w:val="auto"/>
              </w:rPr>
            </w:pPr>
            <w:r>
              <w:rPr>
                <w:rFonts w:hint="eastAsia"/>
                <w:color w:val="auto"/>
                <w:spacing w:val="-3"/>
                <w:lang w:eastAsia="zh-CN"/>
              </w:rPr>
              <w:t>县人社局</w:t>
            </w:r>
          </w:p>
        </w:tc>
        <w:tc>
          <w:tcPr>
            <w:tcW w:w="9402" w:type="dxa"/>
            <w:vAlign w:val="top"/>
          </w:tcPr>
          <w:p w14:paraId="5F407BEF">
            <w:pPr>
              <w:pStyle w:val="19"/>
              <w:shd w:val="clear"/>
              <w:spacing w:before="305" w:line="220" w:lineRule="auto"/>
              <w:ind w:left="130"/>
              <w:rPr>
                <w:color w:val="auto"/>
              </w:rPr>
            </w:pPr>
            <w:r>
              <w:rPr>
                <w:color w:val="auto"/>
                <w:spacing w:val="-2"/>
              </w:rPr>
              <w:t>负责保障生产恢复过程中劳资关系稳定。</w:t>
            </w:r>
          </w:p>
        </w:tc>
      </w:tr>
      <w:tr w14:paraId="0D7D6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571" w:type="dxa"/>
            <w:vMerge w:val="continue"/>
            <w:tcBorders>
              <w:top w:val="nil"/>
              <w:bottom w:val="nil"/>
            </w:tcBorders>
            <w:textDirection w:val="tbRlV"/>
            <w:vAlign w:val="top"/>
          </w:tcPr>
          <w:p w14:paraId="0797F479">
            <w:pPr>
              <w:shd w:val="clear"/>
              <w:rPr>
                <w:rFonts w:ascii="Arial"/>
                <w:color w:val="auto"/>
                <w:sz w:val="21"/>
              </w:rPr>
            </w:pPr>
          </w:p>
        </w:tc>
        <w:tc>
          <w:tcPr>
            <w:tcW w:w="4030" w:type="dxa"/>
            <w:vAlign w:val="top"/>
          </w:tcPr>
          <w:p w14:paraId="164C9814">
            <w:pPr>
              <w:shd w:val="clear"/>
              <w:spacing w:line="335" w:lineRule="auto"/>
              <w:rPr>
                <w:rFonts w:ascii="Arial"/>
                <w:color w:val="auto"/>
                <w:sz w:val="21"/>
              </w:rPr>
            </w:pPr>
          </w:p>
          <w:p w14:paraId="5493B5B9">
            <w:pPr>
              <w:shd w:val="clear"/>
              <w:spacing w:line="336" w:lineRule="auto"/>
              <w:rPr>
                <w:rFonts w:ascii="Arial"/>
                <w:color w:val="auto"/>
                <w:sz w:val="21"/>
              </w:rPr>
            </w:pPr>
          </w:p>
          <w:p w14:paraId="2C1F44B4">
            <w:pPr>
              <w:pStyle w:val="19"/>
              <w:shd w:val="clear"/>
              <w:spacing w:before="91" w:line="223" w:lineRule="auto"/>
              <w:ind w:left="776" w:firstLine="274" w:firstLineChars="100"/>
              <w:rPr>
                <w:rFonts w:hint="eastAsia" w:eastAsia="仿宋"/>
                <w:color w:val="auto"/>
                <w:lang w:eastAsia="zh-CN"/>
              </w:rPr>
            </w:pPr>
            <w:r>
              <w:rPr>
                <w:rFonts w:hint="eastAsia"/>
                <w:color w:val="auto"/>
                <w:spacing w:val="-3"/>
                <w:lang w:eastAsia="zh-CN"/>
              </w:rPr>
              <w:t>县自然资源局</w:t>
            </w:r>
          </w:p>
        </w:tc>
        <w:tc>
          <w:tcPr>
            <w:tcW w:w="9402" w:type="dxa"/>
            <w:vAlign w:val="top"/>
          </w:tcPr>
          <w:p w14:paraId="1CBF24D8">
            <w:pPr>
              <w:pStyle w:val="19"/>
              <w:shd w:val="clear"/>
              <w:spacing w:before="165" w:line="256" w:lineRule="auto"/>
              <w:ind w:left="121" w:right="107" w:firstLine="8"/>
              <w:jc w:val="both"/>
              <w:rPr>
                <w:color w:val="auto"/>
              </w:rPr>
            </w:pPr>
            <w:r>
              <w:rPr>
                <w:color w:val="auto"/>
                <w:spacing w:val="6"/>
              </w:rPr>
              <w:t>负责突发地质灾害信息收集，组织开展突发地质灾害应急调查和灾害区域周边的隐患排查及专业监测；负责提供地质灾害气象风险预警成果</w:t>
            </w:r>
            <w:r>
              <w:rPr>
                <w:rFonts w:hint="eastAsia"/>
                <w:color w:val="auto"/>
                <w:spacing w:val="6"/>
                <w:lang w:eastAsia="zh-CN"/>
              </w:rPr>
              <w:t>，</w:t>
            </w:r>
            <w:r>
              <w:rPr>
                <w:color w:val="auto"/>
                <w:spacing w:val="6"/>
              </w:rPr>
              <w:t>对灾害发展趋势进行预测，为灾害应急救援提供技术支撑，提出应急处置的措</w:t>
            </w:r>
            <w:r>
              <w:rPr>
                <w:color w:val="auto"/>
                <w:spacing w:val="-1"/>
              </w:rPr>
              <w:t>施和建议，对必要的应急处置工程进行技术指导。</w:t>
            </w:r>
          </w:p>
        </w:tc>
      </w:tr>
      <w:tr w14:paraId="72D1D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571" w:type="dxa"/>
            <w:vMerge w:val="continue"/>
            <w:tcBorders>
              <w:top w:val="nil"/>
              <w:bottom w:val="nil"/>
            </w:tcBorders>
            <w:textDirection w:val="tbRlV"/>
            <w:vAlign w:val="top"/>
          </w:tcPr>
          <w:p w14:paraId="0FE65295">
            <w:pPr>
              <w:shd w:val="clear"/>
              <w:rPr>
                <w:rFonts w:ascii="Arial"/>
                <w:color w:val="auto"/>
                <w:sz w:val="21"/>
              </w:rPr>
            </w:pPr>
          </w:p>
        </w:tc>
        <w:tc>
          <w:tcPr>
            <w:tcW w:w="4030" w:type="dxa"/>
            <w:vAlign w:val="top"/>
          </w:tcPr>
          <w:p w14:paraId="7316B89B">
            <w:pPr>
              <w:shd w:val="clear"/>
              <w:spacing w:line="315" w:lineRule="auto"/>
              <w:rPr>
                <w:rFonts w:ascii="Arial"/>
                <w:color w:val="auto"/>
                <w:sz w:val="21"/>
              </w:rPr>
            </w:pPr>
          </w:p>
          <w:p w14:paraId="0145FE5D">
            <w:pPr>
              <w:pStyle w:val="19"/>
              <w:shd w:val="clear"/>
              <w:spacing w:before="91" w:line="222" w:lineRule="auto"/>
              <w:ind w:left="776" w:firstLine="548" w:firstLineChars="200"/>
              <w:rPr>
                <w:color w:val="auto"/>
              </w:rPr>
            </w:pPr>
            <w:r>
              <w:rPr>
                <w:rFonts w:hint="eastAsia"/>
                <w:color w:val="auto"/>
                <w:spacing w:val="-3"/>
                <w:lang w:eastAsia="zh-CN"/>
              </w:rPr>
              <w:t>县住建局</w:t>
            </w:r>
          </w:p>
        </w:tc>
        <w:tc>
          <w:tcPr>
            <w:tcW w:w="9402" w:type="dxa"/>
            <w:vAlign w:val="top"/>
          </w:tcPr>
          <w:p w14:paraId="094AF7C6">
            <w:pPr>
              <w:pStyle w:val="19"/>
              <w:shd w:val="clear"/>
              <w:spacing w:before="207" w:line="248" w:lineRule="auto"/>
              <w:ind w:left="126" w:right="107" w:firstLine="4"/>
              <w:rPr>
                <w:color w:val="auto"/>
              </w:rPr>
            </w:pPr>
            <w:r>
              <w:rPr>
                <w:color w:val="auto"/>
                <w:spacing w:val="6"/>
              </w:rPr>
              <w:t>负责对受灾建筑物的损坏程度进行评估，并报告直接经济损失情况；负责</w:t>
            </w:r>
            <w:r>
              <w:rPr>
                <w:color w:val="auto"/>
                <w:spacing w:val="-2"/>
              </w:rPr>
              <w:t>灾后恢复重建工程建设监督指导。负责组织城</w:t>
            </w:r>
            <w:r>
              <w:rPr>
                <w:rFonts w:hint="eastAsia"/>
                <w:color w:val="auto"/>
                <w:spacing w:val="-2"/>
                <w:lang w:eastAsia="zh-CN"/>
              </w:rPr>
              <w:t>县</w:t>
            </w:r>
            <w:r>
              <w:rPr>
                <w:color w:val="auto"/>
                <w:spacing w:val="-2"/>
              </w:rPr>
              <w:t>供水、排水、燃气、热力、路政照明等</w:t>
            </w:r>
            <w:r>
              <w:rPr>
                <w:rFonts w:hint="eastAsia"/>
                <w:color w:val="auto"/>
                <w:spacing w:val="-3"/>
                <w:lang w:eastAsia="zh-CN"/>
              </w:rPr>
              <w:t>县</w:t>
            </w:r>
            <w:r>
              <w:rPr>
                <w:color w:val="auto"/>
                <w:spacing w:val="-3"/>
              </w:rPr>
              <w:t>政设施的抢、排险工</w:t>
            </w:r>
            <w:r>
              <w:rPr>
                <w:color w:val="auto"/>
                <w:spacing w:val="-12"/>
              </w:rPr>
              <w:t>作。</w:t>
            </w:r>
          </w:p>
        </w:tc>
      </w:tr>
      <w:tr w14:paraId="497D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71" w:type="dxa"/>
            <w:vMerge w:val="continue"/>
            <w:tcBorders>
              <w:top w:val="nil"/>
              <w:bottom w:val="nil"/>
            </w:tcBorders>
            <w:textDirection w:val="tbRlV"/>
            <w:vAlign w:val="top"/>
          </w:tcPr>
          <w:p w14:paraId="182C5A52">
            <w:pPr>
              <w:shd w:val="clear"/>
              <w:rPr>
                <w:rFonts w:ascii="Arial"/>
                <w:color w:val="auto"/>
                <w:sz w:val="21"/>
              </w:rPr>
            </w:pPr>
          </w:p>
        </w:tc>
        <w:tc>
          <w:tcPr>
            <w:tcW w:w="4030" w:type="dxa"/>
            <w:vAlign w:val="top"/>
          </w:tcPr>
          <w:p w14:paraId="23832877">
            <w:pPr>
              <w:shd w:val="clear"/>
              <w:spacing w:line="292" w:lineRule="auto"/>
              <w:rPr>
                <w:rFonts w:ascii="Arial"/>
                <w:color w:val="auto"/>
                <w:sz w:val="21"/>
              </w:rPr>
            </w:pPr>
          </w:p>
          <w:p w14:paraId="03993DAF">
            <w:pPr>
              <w:pStyle w:val="19"/>
              <w:shd w:val="clear"/>
              <w:spacing w:before="91" w:line="223" w:lineRule="auto"/>
              <w:ind w:firstLine="810" w:firstLineChars="300"/>
              <w:rPr>
                <w:rFonts w:hint="eastAsia" w:eastAsia="仿宋"/>
                <w:color w:val="auto"/>
                <w:lang w:eastAsia="zh-CN"/>
              </w:rPr>
            </w:pPr>
            <w:r>
              <w:rPr>
                <w:rFonts w:hint="eastAsia"/>
                <w:color w:val="auto"/>
                <w:spacing w:val="-5"/>
                <w:lang w:eastAsia="zh-CN"/>
              </w:rPr>
              <w:t>市</w:t>
            </w:r>
            <w:r>
              <w:rPr>
                <w:color w:val="auto"/>
                <w:spacing w:val="-5"/>
              </w:rPr>
              <w:t>生态环境局</w:t>
            </w:r>
            <w:r>
              <w:rPr>
                <w:rFonts w:hint="eastAsia"/>
                <w:color w:val="auto"/>
                <w:spacing w:val="-5"/>
                <w:lang w:eastAsia="zh-CN"/>
              </w:rPr>
              <w:t>浑源分局</w:t>
            </w:r>
          </w:p>
        </w:tc>
        <w:tc>
          <w:tcPr>
            <w:tcW w:w="9402" w:type="dxa"/>
            <w:vAlign w:val="top"/>
          </w:tcPr>
          <w:p w14:paraId="09AC1DEC">
            <w:pPr>
              <w:pStyle w:val="19"/>
              <w:shd w:val="clear"/>
              <w:spacing w:before="188" w:line="247" w:lineRule="auto"/>
              <w:ind w:left="122" w:right="107" w:firstLine="7"/>
              <w:rPr>
                <w:color w:val="auto"/>
              </w:rPr>
            </w:pPr>
            <w:r>
              <w:rPr>
                <w:color w:val="auto"/>
                <w:spacing w:val="6"/>
              </w:rPr>
              <w:t>负责地质灾害引发环境污染次生灾害的监测工作，并加强监控，及时提供</w:t>
            </w:r>
            <w:r>
              <w:rPr>
                <w:color w:val="auto"/>
                <w:spacing w:val="-3"/>
              </w:rPr>
              <w:t>环境监测信息。</w:t>
            </w:r>
          </w:p>
        </w:tc>
      </w:tr>
      <w:tr w14:paraId="0C6AD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571" w:type="dxa"/>
            <w:vMerge w:val="continue"/>
            <w:tcBorders>
              <w:top w:val="nil"/>
            </w:tcBorders>
            <w:textDirection w:val="tbRlV"/>
            <w:vAlign w:val="top"/>
          </w:tcPr>
          <w:p w14:paraId="072DCE57">
            <w:pPr>
              <w:shd w:val="clear"/>
              <w:rPr>
                <w:rFonts w:ascii="Arial"/>
                <w:color w:val="auto"/>
                <w:sz w:val="21"/>
              </w:rPr>
            </w:pPr>
          </w:p>
        </w:tc>
        <w:tc>
          <w:tcPr>
            <w:tcW w:w="4030" w:type="dxa"/>
            <w:vAlign w:val="top"/>
          </w:tcPr>
          <w:p w14:paraId="41B7322E">
            <w:pPr>
              <w:shd w:val="clear"/>
              <w:spacing w:line="293" w:lineRule="auto"/>
              <w:rPr>
                <w:rFonts w:ascii="Arial"/>
                <w:color w:val="auto"/>
                <w:sz w:val="21"/>
              </w:rPr>
            </w:pPr>
          </w:p>
          <w:p w14:paraId="53F5D9E8">
            <w:pPr>
              <w:pStyle w:val="19"/>
              <w:shd w:val="clear"/>
              <w:spacing w:before="91" w:line="223" w:lineRule="auto"/>
              <w:ind w:left="1196"/>
              <w:rPr>
                <w:color w:val="auto"/>
              </w:rPr>
            </w:pPr>
            <w:r>
              <w:rPr>
                <w:rFonts w:hint="eastAsia"/>
                <w:color w:val="auto"/>
                <w:spacing w:val="-5"/>
                <w:lang w:eastAsia="zh-CN"/>
              </w:rPr>
              <w:t>县</w:t>
            </w:r>
            <w:r>
              <w:rPr>
                <w:color w:val="auto"/>
                <w:spacing w:val="-5"/>
              </w:rPr>
              <w:t>交通运输局</w:t>
            </w:r>
          </w:p>
        </w:tc>
        <w:tc>
          <w:tcPr>
            <w:tcW w:w="9402" w:type="dxa"/>
            <w:vAlign w:val="top"/>
          </w:tcPr>
          <w:p w14:paraId="6EBE3AEE">
            <w:pPr>
              <w:pStyle w:val="19"/>
              <w:shd w:val="clear"/>
              <w:spacing w:before="186" w:line="247" w:lineRule="auto"/>
              <w:ind w:left="127" w:right="166" w:firstLine="3"/>
              <w:rPr>
                <w:color w:val="auto"/>
              </w:rPr>
            </w:pPr>
            <w:r>
              <w:rPr>
                <w:color w:val="auto"/>
                <w:spacing w:val="4"/>
              </w:rPr>
              <w:t>负责组织抢修损毁的公路交通设施，确保公路畅通；组织协调应急运力，</w:t>
            </w:r>
            <w:r>
              <w:rPr>
                <w:color w:val="auto"/>
                <w:spacing w:val="10"/>
              </w:rPr>
              <w:t xml:space="preserve"> </w:t>
            </w:r>
            <w:r>
              <w:rPr>
                <w:color w:val="auto"/>
                <w:spacing w:val="-1"/>
              </w:rPr>
              <w:t>配合有关部门做好救灾人员、物资的运输工</w:t>
            </w:r>
            <w:r>
              <w:rPr>
                <w:color w:val="auto"/>
                <w:spacing w:val="-2"/>
              </w:rPr>
              <w:t>作。</w:t>
            </w:r>
          </w:p>
        </w:tc>
      </w:tr>
    </w:tbl>
    <w:p w14:paraId="31744E8A">
      <w:pPr>
        <w:shd w:val="clear"/>
        <w:rPr>
          <w:rFonts w:ascii="Arial" w:hAnsi="Arial" w:eastAsia="Arial" w:cs="Arial"/>
          <w:color w:val="auto"/>
          <w:sz w:val="21"/>
          <w:szCs w:val="21"/>
        </w:rPr>
        <w:sectPr>
          <w:footerReference r:id="rId6" w:type="default"/>
          <w:pgSz w:w="16840" w:h="11900"/>
          <w:pgMar w:top="1011" w:right="1538" w:bottom="1339" w:left="1292" w:header="0" w:footer="1060" w:gutter="0"/>
          <w:pgNumType w:fmt="numberInDash"/>
          <w:cols w:space="720" w:num="1"/>
        </w:sectPr>
      </w:pPr>
    </w:p>
    <w:p w14:paraId="5ADDF5C1">
      <w:pPr>
        <w:shd w:val="clear"/>
        <w:spacing w:before="164"/>
        <w:rPr>
          <w:color w:val="auto"/>
        </w:rPr>
      </w:pPr>
    </w:p>
    <w:tbl>
      <w:tblPr>
        <w:tblStyle w:val="18"/>
        <w:tblW w:w="14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4030"/>
        <w:gridCol w:w="9402"/>
      </w:tblGrid>
      <w:tr w14:paraId="064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601" w:type="dxa"/>
            <w:gridSpan w:val="2"/>
            <w:vAlign w:val="top"/>
          </w:tcPr>
          <w:p w14:paraId="1B3787B5">
            <w:pPr>
              <w:shd w:val="clear"/>
              <w:spacing w:before="129" w:line="222" w:lineRule="auto"/>
              <w:ind w:left="1754"/>
              <w:rPr>
                <w:rFonts w:ascii="黑体" w:hAnsi="黑体" w:eastAsia="黑体" w:cs="黑体"/>
                <w:color w:val="auto"/>
                <w:sz w:val="28"/>
                <w:szCs w:val="28"/>
              </w:rPr>
            </w:pPr>
            <w:r>
              <w:rPr>
                <w:rFonts w:ascii="黑体" w:hAnsi="黑体" w:eastAsia="黑体" w:cs="黑体"/>
                <w:color w:val="auto"/>
                <w:spacing w:val="-4"/>
                <w:sz w:val="28"/>
                <w:szCs w:val="28"/>
              </w:rPr>
              <w:t>人员组成</w:t>
            </w:r>
          </w:p>
        </w:tc>
        <w:tc>
          <w:tcPr>
            <w:tcW w:w="9402" w:type="dxa"/>
            <w:vAlign w:val="top"/>
          </w:tcPr>
          <w:p w14:paraId="2BC20098">
            <w:pPr>
              <w:shd w:val="clear"/>
              <w:spacing w:before="129" w:line="222" w:lineRule="auto"/>
              <w:ind w:left="3726"/>
              <w:rPr>
                <w:rFonts w:ascii="黑体" w:hAnsi="黑体" w:eastAsia="黑体" w:cs="黑体"/>
                <w:color w:val="auto"/>
                <w:sz w:val="28"/>
                <w:szCs w:val="28"/>
              </w:rPr>
            </w:pPr>
            <w:r>
              <w:rPr>
                <w:rFonts w:ascii="黑体" w:hAnsi="黑体" w:eastAsia="黑体" w:cs="黑体"/>
                <w:color w:val="auto"/>
                <w:spacing w:val="-2"/>
                <w:sz w:val="28"/>
                <w:szCs w:val="28"/>
              </w:rPr>
              <w:t>指挥机构及职责</w:t>
            </w:r>
          </w:p>
        </w:tc>
      </w:tr>
      <w:tr w14:paraId="6454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71" w:type="dxa"/>
            <w:vMerge w:val="restart"/>
            <w:tcBorders>
              <w:bottom w:val="nil"/>
            </w:tcBorders>
            <w:textDirection w:val="tbRlV"/>
            <w:vAlign w:val="top"/>
          </w:tcPr>
          <w:p w14:paraId="5E95C72A">
            <w:pPr>
              <w:pStyle w:val="19"/>
              <w:shd w:val="clear"/>
              <w:spacing w:before="142" w:line="200" w:lineRule="auto"/>
              <w:ind w:left="3678"/>
              <w:rPr>
                <w:color w:val="auto"/>
              </w:rPr>
            </w:pPr>
            <w:r>
              <w:rPr>
                <w:color w:val="auto"/>
                <w:spacing w:val="7"/>
                <w:position w:val="1"/>
              </w:rPr>
              <w:t>成</w:t>
            </w:r>
            <w:r>
              <w:rPr>
                <w:color w:val="auto"/>
                <w:spacing w:val="8"/>
                <w:position w:val="1"/>
              </w:rPr>
              <w:t xml:space="preserve">        </w:t>
            </w:r>
            <w:r>
              <w:rPr>
                <w:color w:val="auto"/>
                <w:spacing w:val="7"/>
                <w:position w:val="-1"/>
              </w:rPr>
              <w:t>员</w:t>
            </w:r>
          </w:p>
        </w:tc>
        <w:tc>
          <w:tcPr>
            <w:tcW w:w="4030" w:type="dxa"/>
            <w:vAlign w:val="top"/>
          </w:tcPr>
          <w:p w14:paraId="0451F371">
            <w:pPr>
              <w:shd w:val="clear"/>
              <w:spacing w:line="288" w:lineRule="auto"/>
              <w:rPr>
                <w:rFonts w:ascii="Arial"/>
                <w:color w:val="auto"/>
                <w:sz w:val="21"/>
              </w:rPr>
            </w:pPr>
          </w:p>
          <w:p w14:paraId="15D0BFCB">
            <w:pPr>
              <w:pStyle w:val="19"/>
              <w:shd w:val="clear"/>
              <w:spacing w:before="91" w:line="223" w:lineRule="auto"/>
              <w:ind w:left="1477"/>
              <w:rPr>
                <w:color w:val="auto"/>
              </w:rPr>
            </w:pPr>
            <w:r>
              <w:rPr>
                <w:rFonts w:hint="eastAsia"/>
                <w:color w:val="auto"/>
                <w:spacing w:val="-7"/>
                <w:lang w:eastAsia="zh-CN"/>
              </w:rPr>
              <w:t>县</w:t>
            </w:r>
            <w:r>
              <w:rPr>
                <w:color w:val="auto"/>
                <w:spacing w:val="-7"/>
              </w:rPr>
              <w:t>水务局</w:t>
            </w:r>
          </w:p>
        </w:tc>
        <w:tc>
          <w:tcPr>
            <w:tcW w:w="9402" w:type="dxa"/>
            <w:vAlign w:val="top"/>
          </w:tcPr>
          <w:p w14:paraId="78896AB4">
            <w:pPr>
              <w:pStyle w:val="19"/>
              <w:shd w:val="clear"/>
              <w:spacing w:before="182" w:line="249" w:lineRule="auto"/>
              <w:ind w:left="123" w:right="107" w:firstLine="6"/>
              <w:rPr>
                <w:color w:val="auto"/>
              </w:rPr>
            </w:pPr>
            <w:r>
              <w:rPr>
                <w:color w:val="auto"/>
                <w:spacing w:val="6"/>
              </w:rPr>
              <w:t>负责水情和汛情的监测；对影响水利工程设施安全的地质灾害采取紧急处</w:t>
            </w:r>
            <w:r>
              <w:rPr>
                <w:color w:val="auto"/>
                <w:spacing w:val="-1"/>
              </w:rPr>
              <w:t>置措施，避免水利工程遭受或引发地质灾害。</w:t>
            </w:r>
          </w:p>
        </w:tc>
      </w:tr>
      <w:tr w14:paraId="36DD6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571" w:type="dxa"/>
            <w:vMerge w:val="continue"/>
            <w:tcBorders>
              <w:top w:val="nil"/>
              <w:bottom w:val="nil"/>
            </w:tcBorders>
            <w:textDirection w:val="tbRlV"/>
            <w:vAlign w:val="top"/>
          </w:tcPr>
          <w:p w14:paraId="3F9F4640">
            <w:pPr>
              <w:shd w:val="clear"/>
              <w:rPr>
                <w:rFonts w:ascii="Arial"/>
                <w:color w:val="auto"/>
                <w:sz w:val="21"/>
              </w:rPr>
            </w:pPr>
          </w:p>
        </w:tc>
        <w:tc>
          <w:tcPr>
            <w:tcW w:w="4030" w:type="dxa"/>
            <w:vAlign w:val="top"/>
          </w:tcPr>
          <w:p w14:paraId="6BCDE50A">
            <w:pPr>
              <w:shd w:val="clear"/>
              <w:spacing w:line="349" w:lineRule="auto"/>
              <w:rPr>
                <w:rFonts w:ascii="Arial"/>
                <w:color w:val="auto"/>
                <w:sz w:val="21"/>
              </w:rPr>
            </w:pPr>
          </w:p>
          <w:p w14:paraId="34E8039E">
            <w:pPr>
              <w:pStyle w:val="19"/>
              <w:shd w:val="clear"/>
              <w:spacing w:before="91" w:line="222" w:lineRule="auto"/>
              <w:ind w:left="1196"/>
              <w:rPr>
                <w:color w:val="auto"/>
              </w:rPr>
            </w:pPr>
            <w:r>
              <w:rPr>
                <w:rFonts w:hint="eastAsia"/>
                <w:color w:val="auto"/>
                <w:spacing w:val="-5"/>
                <w:lang w:eastAsia="zh-CN"/>
              </w:rPr>
              <w:t>县</w:t>
            </w:r>
            <w:r>
              <w:rPr>
                <w:color w:val="auto"/>
                <w:spacing w:val="-5"/>
              </w:rPr>
              <w:t>农业农村局</w:t>
            </w:r>
          </w:p>
        </w:tc>
        <w:tc>
          <w:tcPr>
            <w:tcW w:w="9402" w:type="dxa"/>
            <w:vAlign w:val="top"/>
          </w:tcPr>
          <w:p w14:paraId="3468CDED">
            <w:pPr>
              <w:pStyle w:val="19"/>
              <w:shd w:val="clear"/>
              <w:spacing w:before="243" w:line="248" w:lineRule="auto"/>
              <w:ind w:left="124" w:right="107" w:firstLine="5"/>
              <w:rPr>
                <w:color w:val="auto"/>
              </w:rPr>
            </w:pPr>
            <w:r>
              <w:rPr>
                <w:color w:val="auto"/>
                <w:spacing w:val="6"/>
              </w:rPr>
              <w:t>负责指导灾区动物疫情防治工作。负责农业生产自救，核实受损情况，指</w:t>
            </w:r>
            <w:r>
              <w:rPr>
                <w:color w:val="auto"/>
                <w:spacing w:val="-1"/>
              </w:rPr>
              <w:t>导制定农业恢复生产方案，指导落实农业生产恢复。</w:t>
            </w:r>
          </w:p>
        </w:tc>
      </w:tr>
      <w:tr w14:paraId="07C4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571" w:type="dxa"/>
            <w:vMerge w:val="continue"/>
            <w:tcBorders>
              <w:top w:val="nil"/>
              <w:bottom w:val="nil"/>
            </w:tcBorders>
            <w:textDirection w:val="tbRlV"/>
            <w:vAlign w:val="top"/>
          </w:tcPr>
          <w:p w14:paraId="10B87AE8">
            <w:pPr>
              <w:shd w:val="clear"/>
              <w:rPr>
                <w:rFonts w:ascii="Arial"/>
                <w:color w:val="auto"/>
                <w:sz w:val="21"/>
              </w:rPr>
            </w:pPr>
          </w:p>
        </w:tc>
        <w:tc>
          <w:tcPr>
            <w:tcW w:w="4030" w:type="dxa"/>
            <w:vAlign w:val="top"/>
          </w:tcPr>
          <w:p w14:paraId="58A435B3">
            <w:pPr>
              <w:shd w:val="clear"/>
              <w:rPr>
                <w:rFonts w:ascii="Arial"/>
                <w:color w:val="auto"/>
                <w:sz w:val="21"/>
              </w:rPr>
            </w:pPr>
          </w:p>
          <w:p w14:paraId="014B96F7">
            <w:pPr>
              <w:shd w:val="clear"/>
              <w:spacing w:line="241" w:lineRule="auto"/>
              <w:rPr>
                <w:rFonts w:ascii="Arial"/>
                <w:color w:val="auto"/>
                <w:sz w:val="21"/>
              </w:rPr>
            </w:pPr>
          </w:p>
          <w:p w14:paraId="189DFFD3">
            <w:pPr>
              <w:shd w:val="clear"/>
              <w:spacing w:line="241" w:lineRule="auto"/>
              <w:rPr>
                <w:rFonts w:ascii="Arial"/>
                <w:color w:val="auto"/>
                <w:sz w:val="21"/>
              </w:rPr>
            </w:pPr>
          </w:p>
          <w:p w14:paraId="6360B876">
            <w:pPr>
              <w:pStyle w:val="19"/>
              <w:shd w:val="clear"/>
              <w:spacing w:before="91" w:line="223" w:lineRule="auto"/>
              <w:ind w:firstLine="1360" w:firstLineChars="500"/>
              <w:rPr>
                <w:color w:val="auto"/>
              </w:rPr>
            </w:pPr>
            <w:r>
              <w:rPr>
                <w:rFonts w:hint="eastAsia"/>
                <w:color w:val="auto"/>
                <w:spacing w:val="-4"/>
                <w:lang w:eastAsia="zh-CN"/>
              </w:rPr>
              <w:t>县文旅局</w:t>
            </w:r>
          </w:p>
        </w:tc>
        <w:tc>
          <w:tcPr>
            <w:tcW w:w="9402" w:type="dxa"/>
            <w:vAlign w:val="top"/>
          </w:tcPr>
          <w:p w14:paraId="5BB41753">
            <w:pPr>
              <w:pStyle w:val="19"/>
              <w:shd w:val="clear"/>
              <w:spacing w:before="216" w:line="256" w:lineRule="auto"/>
              <w:ind w:left="121" w:right="105" w:firstLine="8"/>
              <w:jc w:val="both"/>
              <w:rPr>
                <w:color w:val="auto"/>
              </w:rPr>
            </w:pPr>
            <w:r>
              <w:rPr>
                <w:color w:val="auto"/>
                <w:spacing w:val="6"/>
              </w:rPr>
              <w:t>负责指导景区主管部门对旅游景区内地质灾害进行排查、监测和治理，负</w:t>
            </w:r>
            <w:r>
              <w:rPr>
                <w:color w:val="auto"/>
                <w:spacing w:val="5"/>
              </w:rPr>
              <w:t>责指导</w:t>
            </w:r>
            <w:r>
              <w:rPr>
                <w:color w:val="auto"/>
                <w:spacing w:val="-52"/>
              </w:rPr>
              <w:t xml:space="preserve"> </w:t>
            </w:r>
            <w:r>
              <w:rPr>
                <w:color w:val="auto"/>
                <w:spacing w:val="5"/>
              </w:rPr>
              <w:t>A</w:t>
            </w:r>
            <w:r>
              <w:rPr>
                <w:color w:val="auto"/>
                <w:spacing w:val="-40"/>
              </w:rPr>
              <w:t xml:space="preserve"> </w:t>
            </w:r>
            <w:r>
              <w:rPr>
                <w:color w:val="auto"/>
                <w:spacing w:val="5"/>
              </w:rPr>
              <w:t>级旅游景区按照《旅游景区质量等级的划分与划定》标准修复被</w:t>
            </w:r>
            <w:r>
              <w:rPr>
                <w:color w:val="auto"/>
                <w:spacing w:val="6"/>
              </w:rPr>
              <w:t>毁的旅游基础设施和旅游服务设施；指导发生地质灾害景区游客的疏散安</w:t>
            </w:r>
            <w:r>
              <w:rPr>
                <w:color w:val="auto"/>
                <w:spacing w:val="-5"/>
              </w:rPr>
              <w:t>置工作。</w:t>
            </w:r>
          </w:p>
        </w:tc>
      </w:tr>
      <w:tr w14:paraId="51810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71" w:type="dxa"/>
            <w:vMerge w:val="continue"/>
            <w:tcBorders>
              <w:top w:val="nil"/>
              <w:bottom w:val="nil"/>
            </w:tcBorders>
            <w:textDirection w:val="tbRlV"/>
            <w:vAlign w:val="top"/>
          </w:tcPr>
          <w:p w14:paraId="2E059AE7">
            <w:pPr>
              <w:shd w:val="clear"/>
              <w:rPr>
                <w:rFonts w:ascii="Arial"/>
                <w:color w:val="auto"/>
                <w:sz w:val="21"/>
              </w:rPr>
            </w:pPr>
          </w:p>
        </w:tc>
        <w:tc>
          <w:tcPr>
            <w:tcW w:w="4030" w:type="dxa"/>
            <w:vAlign w:val="top"/>
          </w:tcPr>
          <w:p w14:paraId="1201A771">
            <w:pPr>
              <w:shd w:val="clear"/>
              <w:spacing w:line="388" w:lineRule="auto"/>
              <w:rPr>
                <w:rFonts w:ascii="Arial"/>
                <w:color w:val="auto"/>
                <w:sz w:val="21"/>
              </w:rPr>
            </w:pPr>
          </w:p>
          <w:p w14:paraId="68EFBBCC">
            <w:pPr>
              <w:pStyle w:val="19"/>
              <w:shd w:val="clear"/>
              <w:spacing w:before="91" w:line="223" w:lineRule="auto"/>
              <w:ind w:left="918" w:firstLine="544" w:firstLineChars="200"/>
              <w:rPr>
                <w:rFonts w:hint="eastAsia" w:eastAsia="仿宋"/>
                <w:color w:val="auto"/>
                <w:lang w:eastAsia="zh-CN"/>
              </w:rPr>
            </w:pPr>
            <w:r>
              <w:rPr>
                <w:rFonts w:hint="eastAsia"/>
                <w:color w:val="auto"/>
                <w:spacing w:val="-4"/>
                <w:lang w:eastAsia="zh-CN"/>
              </w:rPr>
              <w:t>县</w:t>
            </w:r>
            <w:r>
              <w:rPr>
                <w:color w:val="auto"/>
                <w:spacing w:val="-4"/>
              </w:rPr>
              <w:t>卫</w:t>
            </w:r>
            <w:r>
              <w:rPr>
                <w:rFonts w:hint="eastAsia"/>
                <w:color w:val="auto"/>
                <w:spacing w:val="-4"/>
                <w:lang w:eastAsia="zh-CN"/>
              </w:rPr>
              <w:t>体局</w:t>
            </w:r>
          </w:p>
        </w:tc>
        <w:tc>
          <w:tcPr>
            <w:tcW w:w="9402" w:type="dxa"/>
            <w:vAlign w:val="top"/>
          </w:tcPr>
          <w:p w14:paraId="2B07D2BA">
            <w:pPr>
              <w:pStyle w:val="19"/>
              <w:shd w:val="clear"/>
              <w:spacing w:before="83" w:line="244" w:lineRule="auto"/>
              <w:ind w:left="123" w:right="107" w:firstLine="6"/>
              <w:jc w:val="both"/>
              <w:rPr>
                <w:color w:val="auto"/>
              </w:rPr>
            </w:pPr>
            <w:r>
              <w:rPr>
                <w:color w:val="auto"/>
                <w:spacing w:val="6"/>
              </w:rPr>
              <w:t>负责督导事发地卫生健康部门，调派专家团队和卫生应急队伍，开展地质灾害伤病员医疗救治、灾区卫生防疫、心理危机干预和相关人员医疗卫生</w:t>
            </w:r>
            <w:r>
              <w:rPr>
                <w:color w:val="auto"/>
                <w:spacing w:val="-6"/>
              </w:rPr>
              <w:t>保障。</w:t>
            </w:r>
          </w:p>
        </w:tc>
      </w:tr>
      <w:tr w14:paraId="69935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571" w:type="dxa"/>
            <w:vMerge w:val="continue"/>
            <w:tcBorders>
              <w:top w:val="nil"/>
              <w:bottom w:val="nil"/>
            </w:tcBorders>
            <w:textDirection w:val="tbRlV"/>
            <w:vAlign w:val="top"/>
          </w:tcPr>
          <w:p w14:paraId="6BEBE6FA">
            <w:pPr>
              <w:shd w:val="clear"/>
              <w:rPr>
                <w:rFonts w:ascii="Arial"/>
                <w:color w:val="auto"/>
                <w:sz w:val="21"/>
              </w:rPr>
            </w:pPr>
          </w:p>
        </w:tc>
        <w:tc>
          <w:tcPr>
            <w:tcW w:w="4030" w:type="dxa"/>
            <w:vAlign w:val="top"/>
          </w:tcPr>
          <w:p w14:paraId="6804AF06">
            <w:pPr>
              <w:shd w:val="clear"/>
              <w:spacing w:line="330" w:lineRule="auto"/>
              <w:rPr>
                <w:rFonts w:ascii="Arial"/>
                <w:color w:val="auto"/>
                <w:sz w:val="21"/>
              </w:rPr>
            </w:pPr>
          </w:p>
          <w:p w14:paraId="2962F23F">
            <w:pPr>
              <w:shd w:val="clear"/>
              <w:spacing w:line="330" w:lineRule="auto"/>
              <w:rPr>
                <w:rFonts w:ascii="Arial"/>
                <w:color w:val="auto"/>
                <w:sz w:val="21"/>
              </w:rPr>
            </w:pPr>
          </w:p>
          <w:p w14:paraId="691A3B6C">
            <w:pPr>
              <w:pStyle w:val="19"/>
              <w:shd w:val="clear"/>
              <w:spacing w:before="91" w:line="223" w:lineRule="auto"/>
              <w:ind w:left="1196"/>
              <w:rPr>
                <w:color w:val="auto"/>
              </w:rPr>
            </w:pPr>
            <w:r>
              <w:rPr>
                <w:rFonts w:hint="eastAsia"/>
                <w:color w:val="auto"/>
                <w:spacing w:val="-5"/>
                <w:lang w:eastAsia="zh-CN"/>
              </w:rPr>
              <w:t>县</w:t>
            </w:r>
            <w:r>
              <w:rPr>
                <w:color w:val="auto"/>
                <w:spacing w:val="-5"/>
              </w:rPr>
              <w:t>应急管理局</w:t>
            </w:r>
          </w:p>
        </w:tc>
        <w:tc>
          <w:tcPr>
            <w:tcW w:w="9402" w:type="dxa"/>
            <w:vAlign w:val="top"/>
          </w:tcPr>
          <w:p w14:paraId="60713CD1">
            <w:pPr>
              <w:shd w:val="clear"/>
              <w:spacing w:line="260" w:lineRule="auto"/>
              <w:rPr>
                <w:rFonts w:ascii="Arial"/>
                <w:color w:val="auto"/>
                <w:sz w:val="21"/>
              </w:rPr>
            </w:pPr>
          </w:p>
          <w:p w14:paraId="322B8B9B">
            <w:pPr>
              <w:pStyle w:val="19"/>
              <w:shd w:val="clear"/>
              <w:spacing w:before="91" w:line="254" w:lineRule="auto"/>
              <w:ind w:left="126" w:right="107" w:firstLine="4"/>
              <w:jc w:val="both"/>
              <w:rPr>
                <w:color w:val="auto"/>
              </w:rPr>
            </w:pPr>
            <w:r>
              <w:rPr>
                <w:color w:val="auto"/>
                <w:spacing w:val="6"/>
              </w:rPr>
              <w:t>负责承担办公室日常工作。组织指导突发地质灾害抢险救援工作；负责灾民转移、安置，指导突发地质灾害事件中受灾群众的基本生活救助；指导</w:t>
            </w:r>
            <w:r>
              <w:rPr>
                <w:color w:val="auto"/>
                <w:spacing w:val="-1"/>
              </w:rPr>
              <w:t>灾区企业开展抢、排险工作；组织开展较大地质灾害调查评估工作。</w:t>
            </w:r>
          </w:p>
        </w:tc>
      </w:tr>
      <w:tr w14:paraId="667F6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571" w:type="dxa"/>
            <w:vMerge w:val="continue"/>
            <w:tcBorders>
              <w:top w:val="nil"/>
            </w:tcBorders>
            <w:textDirection w:val="tbRlV"/>
            <w:vAlign w:val="top"/>
          </w:tcPr>
          <w:p w14:paraId="42E2B727">
            <w:pPr>
              <w:shd w:val="clear"/>
              <w:rPr>
                <w:rFonts w:ascii="Arial"/>
                <w:color w:val="auto"/>
                <w:sz w:val="21"/>
              </w:rPr>
            </w:pPr>
          </w:p>
        </w:tc>
        <w:tc>
          <w:tcPr>
            <w:tcW w:w="4030" w:type="dxa"/>
            <w:vAlign w:val="top"/>
          </w:tcPr>
          <w:p w14:paraId="6F51EBD1">
            <w:pPr>
              <w:shd w:val="clear"/>
              <w:spacing w:line="475" w:lineRule="auto"/>
              <w:rPr>
                <w:rFonts w:ascii="Arial"/>
                <w:color w:val="auto"/>
                <w:sz w:val="21"/>
              </w:rPr>
            </w:pPr>
          </w:p>
          <w:p w14:paraId="4E6BF286">
            <w:pPr>
              <w:pStyle w:val="19"/>
              <w:shd w:val="clear"/>
              <w:spacing w:before="91" w:line="223" w:lineRule="auto"/>
              <w:ind w:left="918"/>
              <w:rPr>
                <w:color w:val="auto"/>
              </w:rPr>
            </w:pPr>
            <w:r>
              <w:rPr>
                <w:rFonts w:hint="eastAsia"/>
                <w:color w:val="auto"/>
                <w:spacing w:val="-4"/>
                <w:lang w:eastAsia="zh-CN"/>
              </w:rPr>
              <w:t>县市</w:t>
            </w:r>
            <w:r>
              <w:rPr>
                <w:color w:val="auto"/>
                <w:spacing w:val="-4"/>
              </w:rPr>
              <w:t>场监督管理局</w:t>
            </w:r>
          </w:p>
        </w:tc>
        <w:tc>
          <w:tcPr>
            <w:tcW w:w="9402" w:type="dxa"/>
            <w:vAlign w:val="top"/>
          </w:tcPr>
          <w:p w14:paraId="307F816F">
            <w:pPr>
              <w:pStyle w:val="19"/>
              <w:shd w:val="clear"/>
              <w:spacing w:before="168" w:line="254" w:lineRule="auto"/>
              <w:ind w:left="129" w:right="107" w:firstLine="1"/>
              <w:jc w:val="both"/>
              <w:rPr>
                <w:color w:val="auto"/>
              </w:rPr>
            </w:pPr>
            <w:r>
              <w:rPr>
                <w:color w:val="auto"/>
                <w:spacing w:val="6"/>
              </w:rPr>
              <w:t>负责救灾物品质量监管</w:t>
            </w:r>
            <w:r>
              <w:rPr>
                <w:rFonts w:hint="eastAsia"/>
                <w:color w:val="auto"/>
                <w:spacing w:val="6"/>
                <w:lang w:eastAsia="zh-CN"/>
              </w:rPr>
              <w:t>，</w:t>
            </w:r>
            <w:r>
              <w:rPr>
                <w:color w:val="auto"/>
                <w:spacing w:val="6"/>
              </w:rPr>
              <w:t>救灾餐饮服务食品的安全监管和药品、医疗器械的质量监督管理，综合协调食品安全；对灾区电梯、锅炉等特种设备的安</w:t>
            </w:r>
            <w:r>
              <w:rPr>
                <w:color w:val="auto"/>
                <w:spacing w:val="-7"/>
              </w:rPr>
              <w:t>全监察。</w:t>
            </w:r>
          </w:p>
        </w:tc>
      </w:tr>
    </w:tbl>
    <w:p w14:paraId="069A3EAA">
      <w:pPr>
        <w:shd w:val="clear"/>
        <w:rPr>
          <w:rFonts w:ascii="Arial" w:hAnsi="Arial" w:eastAsia="Arial" w:cs="Arial"/>
          <w:color w:val="auto"/>
          <w:sz w:val="21"/>
          <w:szCs w:val="21"/>
        </w:rPr>
        <w:sectPr>
          <w:footerReference r:id="rId7" w:type="default"/>
          <w:pgSz w:w="16840" w:h="11900"/>
          <w:pgMar w:top="1011" w:right="1538" w:bottom="1339" w:left="1292" w:header="0" w:footer="1060" w:gutter="0"/>
          <w:pgNumType w:fmt="numberInDash"/>
          <w:cols w:space="720" w:num="1"/>
        </w:sectPr>
      </w:pPr>
    </w:p>
    <w:p w14:paraId="1D1FC734">
      <w:pPr>
        <w:shd w:val="clear"/>
        <w:spacing w:before="164"/>
        <w:rPr>
          <w:color w:val="auto"/>
        </w:rPr>
      </w:pPr>
    </w:p>
    <w:tbl>
      <w:tblPr>
        <w:tblStyle w:val="18"/>
        <w:tblW w:w="14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4030"/>
        <w:gridCol w:w="9402"/>
      </w:tblGrid>
      <w:tr w14:paraId="6C451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4601" w:type="dxa"/>
            <w:gridSpan w:val="2"/>
            <w:vAlign w:val="top"/>
          </w:tcPr>
          <w:p w14:paraId="0F6038F0">
            <w:pPr>
              <w:shd w:val="clear"/>
              <w:spacing w:before="129" w:line="222" w:lineRule="auto"/>
              <w:ind w:left="1754"/>
              <w:rPr>
                <w:rFonts w:ascii="黑体" w:hAnsi="黑体" w:eastAsia="黑体" w:cs="黑体"/>
                <w:color w:val="auto"/>
                <w:sz w:val="28"/>
                <w:szCs w:val="28"/>
              </w:rPr>
            </w:pPr>
            <w:r>
              <w:rPr>
                <w:rFonts w:ascii="黑体" w:hAnsi="黑体" w:eastAsia="黑体" w:cs="黑体"/>
                <w:color w:val="auto"/>
                <w:spacing w:val="-4"/>
                <w:sz w:val="28"/>
                <w:szCs w:val="28"/>
              </w:rPr>
              <w:t>人员组成</w:t>
            </w:r>
          </w:p>
        </w:tc>
        <w:tc>
          <w:tcPr>
            <w:tcW w:w="9402" w:type="dxa"/>
            <w:vAlign w:val="top"/>
          </w:tcPr>
          <w:p w14:paraId="5B4873AE">
            <w:pPr>
              <w:shd w:val="clear"/>
              <w:spacing w:before="129" w:line="222" w:lineRule="auto"/>
              <w:ind w:left="3726"/>
              <w:rPr>
                <w:rFonts w:ascii="黑体" w:hAnsi="黑体" w:eastAsia="黑体" w:cs="黑体"/>
                <w:color w:val="auto"/>
                <w:sz w:val="28"/>
                <w:szCs w:val="28"/>
              </w:rPr>
            </w:pPr>
            <w:r>
              <w:rPr>
                <w:rFonts w:ascii="黑体" w:hAnsi="黑体" w:eastAsia="黑体" w:cs="黑体"/>
                <w:color w:val="auto"/>
                <w:spacing w:val="-2"/>
                <w:sz w:val="28"/>
                <w:szCs w:val="28"/>
              </w:rPr>
              <w:t>指挥机构及职责</w:t>
            </w:r>
          </w:p>
        </w:tc>
      </w:tr>
      <w:tr w14:paraId="38CB8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1" w:type="dxa"/>
            <w:vMerge w:val="restart"/>
            <w:tcBorders>
              <w:bottom w:val="nil"/>
            </w:tcBorders>
            <w:textDirection w:val="tbRlV"/>
            <w:vAlign w:val="top"/>
          </w:tcPr>
          <w:p w14:paraId="27B1975F">
            <w:pPr>
              <w:pStyle w:val="19"/>
              <w:shd w:val="clear"/>
              <w:spacing w:before="141" w:line="201" w:lineRule="auto"/>
              <w:ind w:left="3280"/>
              <w:rPr>
                <w:color w:val="auto"/>
              </w:rPr>
            </w:pPr>
            <w:r>
              <w:rPr>
                <w:color w:val="auto"/>
                <w:spacing w:val="7"/>
              </w:rPr>
              <w:t>成</w:t>
            </w:r>
            <w:r>
              <w:rPr>
                <w:color w:val="auto"/>
                <w:spacing w:val="8"/>
              </w:rPr>
              <w:t xml:space="preserve">        </w:t>
            </w:r>
            <w:r>
              <w:rPr>
                <w:color w:val="auto"/>
                <w:spacing w:val="7"/>
              </w:rPr>
              <w:t>员</w:t>
            </w:r>
          </w:p>
        </w:tc>
        <w:tc>
          <w:tcPr>
            <w:tcW w:w="4030" w:type="dxa"/>
            <w:vAlign w:val="top"/>
          </w:tcPr>
          <w:p w14:paraId="2772E45D">
            <w:pPr>
              <w:pStyle w:val="19"/>
              <w:shd w:val="clear"/>
              <w:spacing w:before="304" w:line="222" w:lineRule="auto"/>
              <w:ind w:left="1477"/>
              <w:rPr>
                <w:color w:val="auto"/>
              </w:rPr>
            </w:pPr>
            <w:r>
              <w:rPr>
                <w:rFonts w:hint="eastAsia"/>
                <w:color w:val="auto"/>
                <w:spacing w:val="-7"/>
                <w:lang w:eastAsia="zh-CN"/>
              </w:rPr>
              <w:t>县</w:t>
            </w:r>
            <w:r>
              <w:rPr>
                <w:color w:val="auto"/>
                <w:spacing w:val="-7"/>
              </w:rPr>
              <w:t>能源局</w:t>
            </w:r>
          </w:p>
        </w:tc>
        <w:tc>
          <w:tcPr>
            <w:tcW w:w="9402" w:type="dxa"/>
            <w:vAlign w:val="top"/>
          </w:tcPr>
          <w:p w14:paraId="4CC35B44">
            <w:pPr>
              <w:pStyle w:val="19"/>
              <w:shd w:val="clear"/>
              <w:spacing w:before="104" w:line="244" w:lineRule="auto"/>
              <w:ind w:left="126" w:right="108" w:hanging="4"/>
              <w:rPr>
                <w:color w:val="auto"/>
              </w:rPr>
            </w:pPr>
            <w:r>
              <w:rPr>
                <w:color w:val="auto"/>
                <w:spacing w:val="12"/>
              </w:rPr>
              <w:t>指导协调电力</w:t>
            </w:r>
            <w:r>
              <w:rPr>
                <w:color w:val="auto"/>
                <w:spacing w:val="-84"/>
              </w:rPr>
              <w:t xml:space="preserve"> </w:t>
            </w:r>
            <w:r>
              <w:rPr>
                <w:color w:val="auto"/>
                <w:spacing w:val="12"/>
              </w:rPr>
              <w:t>、新能源</w:t>
            </w:r>
            <w:r>
              <w:rPr>
                <w:color w:val="auto"/>
                <w:spacing w:val="-83"/>
              </w:rPr>
              <w:t xml:space="preserve"> </w:t>
            </w:r>
            <w:r>
              <w:rPr>
                <w:color w:val="auto"/>
                <w:spacing w:val="12"/>
              </w:rPr>
              <w:t>、可再生能源企业和石油天然气管道抢、排险工</w:t>
            </w:r>
            <w:r>
              <w:rPr>
                <w:color w:val="auto"/>
                <w:spacing w:val="-2"/>
              </w:rPr>
              <w:t>作，防止次生灾害的发生。</w:t>
            </w:r>
          </w:p>
        </w:tc>
      </w:tr>
      <w:tr w14:paraId="683C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71" w:type="dxa"/>
            <w:vMerge w:val="continue"/>
            <w:tcBorders>
              <w:top w:val="nil"/>
              <w:bottom w:val="nil"/>
            </w:tcBorders>
            <w:textDirection w:val="tbRlV"/>
            <w:vAlign w:val="top"/>
          </w:tcPr>
          <w:p w14:paraId="1F8A5C08">
            <w:pPr>
              <w:shd w:val="clear"/>
              <w:rPr>
                <w:rFonts w:ascii="Arial"/>
                <w:color w:val="auto"/>
                <w:sz w:val="21"/>
              </w:rPr>
            </w:pPr>
          </w:p>
        </w:tc>
        <w:tc>
          <w:tcPr>
            <w:tcW w:w="4030" w:type="dxa"/>
            <w:vAlign w:val="top"/>
          </w:tcPr>
          <w:p w14:paraId="7A85381C">
            <w:pPr>
              <w:pStyle w:val="19"/>
              <w:shd w:val="clear"/>
              <w:spacing w:before="211" w:line="222" w:lineRule="auto"/>
              <w:ind w:left="1477"/>
              <w:rPr>
                <w:color w:val="auto"/>
              </w:rPr>
            </w:pPr>
            <w:r>
              <w:rPr>
                <w:rFonts w:hint="eastAsia"/>
                <w:color w:val="auto"/>
                <w:spacing w:val="-5"/>
                <w:lang w:eastAsia="zh-CN"/>
              </w:rPr>
              <w:t>县文旅局</w:t>
            </w:r>
          </w:p>
        </w:tc>
        <w:tc>
          <w:tcPr>
            <w:tcW w:w="9402" w:type="dxa"/>
            <w:vAlign w:val="top"/>
          </w:tcPr>
          <w:p w14:paraId="43761A6F">
            <w:pPr>
              <w:pStyle w:val="19"/>
              <w:shd w:val="clear"/>
              <w:spacing w:before="211" w:line="222" w:lineRule="auto"/>
              <w:ind w:left="130"/>
              <w:rPr>
                <w:color w:val="auto"/>
              </w:rPr>
            </w:pPr>
            <w:r>
              <w:rPr>
                <w:color w:val="auto"/>
                <w:spacing w:val="-2"/>
              </w:rPr>
              <w:t>负责辖区内重点文物抢救和保护。</w:t>
            </w:r>
          </w:p>
        </w:tc>
      </w:tr>
      <w:tr w14:paraId="72B96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71" w:type="dxa"/>
            <w:vMerge w:val="continue"/>
            <w:tcBorders>
              <w:top w:val="nil"/>
              <w:bottom w:val="nil"/>
            </w:tcBorders>
            <w:textDirection w:val="tbRlV"/>
            <w:vAlign w:val="top"/>
          </w:tcPr>
          <w:p w14:paraId="6DA5B115">
            <w:pPr>
              <w:shd w:val="clear"/>
              <w:rPr>
                <w:rFonts w:ascii="Arial"/>
                <w:color w:val="auto"/>
                <w:sz w:val="21"/>
              </w:rPr>
            </w:pPr>
          </w:p>
        </w:tc>
        <w:tc>
          <w:tcPr>
            <w:tcW w:w="4030" w:type="dxa"/>
            <w:vAlign w:val="top"/>
          </w:tcPr>
          <w:p w14:paraId="2D5BF1B9">
            <w:pPr>
              <w:shd w:val="clear"/>
              <w:spacing w:line="317" w:lineRule="auto"/>
              <w:rPr>
                <w:rFonts w:ascii="Arial"/>
                <w:color w:val="auto"/>
                <w:sz w:val="21"/>
              </w:rPr>
            </w:pPr>
          </w:p>
          <w:p w14:paraId="1654BA4F">
            <w:pPr>
              <w:pStyle w:val="19"/>
              <w:shd w:val="clear"/>
              <w:spacing w:before="91" w:line="224" w:lineRule="auto"/>
              <w:ind w:left="1333"/>
              <w:rPr>
                <w:color w:val="auto"/>
              </w:rPr>
            </w:pPr>
            <w:r>
              <w:rPr>
                <w:rFonts w:hint="eastAsia"/>
                <w:color w:val="auto"/>
                <w:spacing w:val="-5"/>
                <w:lang w:eastAsia="zh-CN"/>
              </w:rPr>
              <w:t>县</w:t>
            </w:r>
            <w:r>
              <w:rPr>
                <w:color w:val="auto"/>
                <w:spacing w:val="-5"/>
              </w:rPr>
              <w:t>气象局</w:t>
            </w:r>
          </w:p>
        </w:tc>
        <w:tc>
          <w:tcPr>
            <w:tcW w:w="9402" w:type="dxa"/>
            <w:vAlign w:val="top"/>
          </w:tcPr>
          <w:p w14:paraId="46306F6E">
            <w:pPr>
              <w:pStyle w:val="19"/>
              <w:shd w:val="clear"/>
              <w:spacing w:before="121" w:line="226" w:lineRule="auto"/>
              <w:ind w:left="124" w:right="331" w:firstLine="5"/>
              <w:rPr>
                <w:color w:val="auto"/>
              </w:rPr>
            </w:pPr>
            <w:r>
              <w:rPr>
                <w:color w:val="auto"/>
                <w:spacing w:val="-1"/>
              </w:rPr>
              <w:t>负责为灾害救援处置提供气象保障，会同自然资源部门提供地质灾害气象</w:t>
            </w:r>
            <w:r>
              <w:rPr>
                <w:color w:val="auto"/>
                <w:spacing w:val="-4"/>
              </w:rPr>
              <w:t>风险预警。</w:t>
            </w:r>
          </w:p>
        </w:tc>
      </w:tr>
      <w:tr w14:paraId="3A985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571" w:type="dxa"/>
            <w:vMerge w:val="continue"/>
            <w:tcBorders>
              <w:top w:val="nil"/>
              <w:bottom w:val="nil"/>
            </w:tcBorders>
            <w:textDirection w:val="tbRlV"/>
            <w:vAlign w:val="top"/>
          </w:tcPr>
          <w:p w14:paraId="234DBE67">
            <w:pPr>
              <w:shd w:val="clear"/>
              <w:rPr>
                <w:rFonts w:ascii="Arial"/>
                <w:color w:val="auto"/>
                <w:sz w:val="21"/>
              </w:rPr>
            </w:pPr>
          </w:p>
        </w:tc>
        <w:tc>
          <w:tcPr>
            <w:tcW w:w="4030" w:type="dxa"/>
            <w:vAlign w:val="top"/>
          </w:tcPr>
          <w:p w14:paraId="420D30BC">
            <w:pPr>
              <w:pStyle w:val="19"/>
              <w:shd w:val="clear"/>
              <w:spacing w:before="311" w:line="223" w:lineRule="auto"/>
              <w:ind w:left="1333"/>
              <w:rPr>
                <w:rFonts w:hint="eastAsia" w:eastAsia="仿宋"/>
                <w:color w:val="auto"/>
                <w:lang w:eastAsia="zh-CN"/>
              </w:rPr>
            </w:pPr>
            <w:r>
              <w:rPr>
                <w:rFonts w:hint="eastAsia"/>
                <w:color w:val="auto"/>
                <w:spacing w:val="-5"/>
                <w:lang w:eastAsia="zh-CN"/>
              </w:rPr>
              <w:t>浑源县武装部</w:t>
            </w:r>
          </w:p>
        </w:tc>
        <w:tc>
          <w:tcPr>
            <w:tcW w:w="9402" w:type="dxa"/>
            <w:vAlign w:val="top"/>
          </w:tcPr>
          <w:p w14:paraId="2E133915">
            <w:pPr>
              <w:pStyle w:val="19"/>
              <w:shd w:val="clear"/>
              <w:spacing w:before="284" w:line="223" w:lineRule="auto"/>
              <w:ind w:left="130"/>
              <w:rPr>
                <w:color w:val="auto"/>
              </w:rPr>
            </w:pPr>
            <w:r>
              <w:rPr>
                <w:color w:val="auto"/>
                <w:spacing w:val="-1"/>
              </w:rPr>
              <w:t>负责组织民兵、必要时协调驻军参加突发地质灾害的应急救援。</w:t>
            </w:r>
          </w:p>
        </w:tc>
      </w:tr>
      <w:tr w14:paraId="139D5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571" w:type="dxa"/>
            <w:vMerge w:val="continue"/>
            <w:tcBorders>
              <w:top w:val="nil"/>
              <w:bottom w:val="nil"/>
            </w:tcBorders>
            <w:textDirection w:val="tbRlV"/>
            <w:vAlign w:val="top"/>
          </w:tcPr>
          <w:p w14:paraId="6B275821">
            <w:pPr>
              <w:shd w:val="clear"/>
              <w:rPr>
                <w:rFonts w:ascii="Arial"/>
                <w:color w:val="auto"/>
                <w:sz w:val="21"/>
              </w:rPr>
            </w:pPr>
          </w:p>
        </w:tc>
        <w:tc>
          <w:tcPr>
            <w:tcW w:w="4030" w:type="dxa"/>
            <w:vAlign w:val="top"/>
          </w:tcPr>
          <w:p w14:paraId="40F33F9E">
            <w:pPr>
              <w:shd w:val="clear"/>
              <w:spacing w:line="396" w:lineRule="auto"/>
              <w:rPr>
                <w:rFonts w:ascii="Arial"/>
                <w:color w:val="auto"/>
                <w:sz w:val="21"/>
              </w:rPr>
            </w:pPr>
          </w:p>
          <w:p w14:paraId="20540E8E">
            <w:pPr>
              <w:pStyle w:val="19"/>
              <w:shd w:val="clear"/>
              <w:spacing w:before="91" w:line="224" w:lineRule="auto"/>
              <w:ind w:left="1196"/>
              <w:rPr>
                <w:color w:val="auto"/>
              </w:rPr>
            </w:pPr>
            <w:r>
              <w:rPr>
                <w:color w:val="auto"/>
                <w:spacing w:val="-5"/>
              </w:rPr>
              <w:t>武警</w:t>
            </w:r>
            <w:r>
              <w:rPr>
                <w:rFonts w:hint="eastAsia"/>
                <w:color w:val="auto"/>
                <w:spacing w:val="-5"/>
                <w:lang w:eastAsia="zh-CN"/>
              </w:rPr>
              <w:t>浑源中</w:t>
            </w:r>
            <w:r>
              <w:rPr>
                <w:color w:val="auto"/>
                <w:spacing w:val="-5"/>
              </w:rPr>
              <w:t>队</w:t>
            </w:r>
          </w:p>
        </w:tc>
        <w:tc>
          <w:tcPr>
            <w:tcW w:w="9402" w:type="dxa"/>
            <w:vAlign w:val="top"/>
          </w:tcPr>
          <w:p w14:paraId="69FAED8D">
            <w:pPr>
              <w:pStyle w:val="19"/>
              <w:shd w:val="clear"/>
              <w:spacing w:before="283" w:line="225" w:lineRule="auto"/>
              <w:ind w:left="171" w:right="331" w:hanging="41"/>
              <w:rPr>
                <w:color w:val="auto"/>
              </w:rPr>
            </w:pPr>
            <w:r>
              <w:rPr>
                <w:color w:val="auto"/>
                <w:spacing w:val="-1"/>
              </w:rPr>
              <w:t>负责调集队伍参加抢险救灾；配合公安机关维护当地社会秩序，保卫重要</w:t>
            </w:r>
            <w:r>
              <w:rPr>
                <w:color w:val="auto"/>
                <w:spacing w:val="6"/>
              </w:rPr>
              <w:t xml:space="preserve"> </w:t>
            </w:r>
            <w:r>
              <w:rPr>
                <w:color w:val="auto"/>
                <w:spacing w:val="-23"/>
              </w:rPr>
              <w:t>目标。</w:t>
            </w:r>
          </w:p>
        </w:tc>
      </w:tr>
      <w:tr w14:paraId="485C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71" w:type="dxa"/>
            <w:vMerge w:val="continue"/>
            <w:tcBorders>
              <w:top w:val="nil"/>
              <w:bottom w:val="nil"/>
            </w:tcBorders>
            <w:textDirection w:val="tbRlV"/>
            <w:vAlign w:val="top"/>
          </w:tcPr>
          <w:p w14:paraId="3D0BF32E">
            <w:pPr>
              <w:shd w:val="clear"/>
              <w:rPr>
                <w:rFonts w:ascii="Arial"/>
                <w:color w:val="auto"/>
                <w:sz w:val="21"/>
              </w:rPr>
            </w:pPr>
          </w:p>
        </w:tc>
        <w:tc>
          <w:tcPr>
            <w:tcW w:w="4030" w:type="dxa"/>
            <w:vAlign w:val="top"/>
          </w:tcPr>
          <w:p w14:paraId="3CCAC8C3">
            <w:pPr>
              <w:shd w:val="clear"/>
              <w:spacing w:line="252" w:lineRule="auto"/>
              <w:rPr>
                <w:rFonts w:ascii="Arial"/>
                <w:color w:val="auto"/>
                <w:sz w:val="21"/>
              </w:rPr>
            </w:pPr>
          </w:p>
          <w:p w14:paraId="7E6FB67D">
            <w:pPr>
              <w:pStyle w:val="19"/>
              <w:shd w:val="clear"/>
              <w:spacing w:before="91" w:line="222" w:lineRule="auto"/>
              <w:ind w:left="1057"/>
              <w:rPr>
                <w:color w:val="auto"/>
              </w:rPr>
            </w:pPr>
            <w:r>
              <w:rPr>
                <w:rFonts w:hint="eastAsia"/>
                <w:color w:val="auto"/>
                <w:spacing w:val="-4"/>
                <w:lang w:eastAsia="zh-CN"/>
              </w:rPr>
              <w:t>县</w:t>
            </w:r>
            <w:r>
              <w:rPr>
                <w:color w:val="auto"/>
                <w:spacing w:val="-4"/>
              </w:rPr>
              <w:t>消防救援</w:t>
            </w:r>
            <w:r>
              <w:rPr>
                <w:rFonts w:hint="eastAsia"/>
                <w:color w:val="auto"/>
                <w:spacing w:val="-4"/>
                <w:lang w:eastAsia="zh-CN"/>
              </w:rPr>
              <w:t>大</w:t>
            </w:r>
            <w:r>
              <w:rPr>
                <w:color w:val="auto"/>
                <w:spacing w:val="-4"/>
              </w:rPr>
              <w:t>队</w:t>
            </w:r>
          </w:p>
        </w:tc>
        <w:tc>
          <w:tcPr>
            <w:tcW w:w="9402" w:type="dxa"/>
            <w:vAlign w:val="top"/>
          </w:tcPr>
          <w:p w14:paraId="625D227C">
            <w:pPr>
              <w:pStyle w:val="19"/>
              <w:shd w:val="clear"/>
              <w:spacing w:before="288" w:line="221" w:lineRule="auto"/>
              <w:ind w:left="130"/>
              <w:rPr>
                <w:color w:val="auto"/>
              </w:rPr>
            </w:pPr>
            <w:r>
              <w:rPr>
                <w:color w:val="auto"/>
                <w:spacing w:val="-1"/>
              </w:rPr>
              <w:t>负责组织指挥所属队伍参加以搜救人员为主的抢险救援工作。</w:t>
            </w:r>
          </w:p>
        </w:tc>
      </w:tr>
      <w:tr w14:paraId="1621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571" w:type="dxa"/>
            <w:vMerge w:val="continue"/>
            <w:tcBorders>
              <w:top w:val="nil"/>
            </w:tcBorders>
            <w:textDirection w:val="tbRlV"/>
            <w:vAlign w:val="top"/>
          </w:tcPr>
          <w:p w14:paraId="062C0622">
            <w:pPr>
              <w:shd w:val="clear"/>
              <w:rPr>
                <w:rFonts w:ascii="Arial"/>
                <w:color w:val="auto"/>
                <w:sz w:val="21"/>
              </w:rPr>
            </w:pPr>
          </w:p>
        </w:tc>
        <w:tc>
          <w:tcPr>
            <w:tcW w:w="4030" w:type="dxa"/>
            <w:vAlign w:val="top"/>
          </w:tcPr>
          <w:p w14:paraId="671EFB69">
            <w:pPr>
              <w:shd w:val="clear"/>
              <w:spacing w:line="422" w:lineRule="auto"/>
              <w:rPr>
                <w:rFonts w:ascii="Arial"/>
                <w:color w:val="auto"/>
                <w:sz w:val="21"/>
              </w:rPr>
            </w:pPr>
          </w:p>
          <w:p w14:paraId="6CAC9528">
            <w:pPr>
              <w:pStyle w:val="19"/>
              <w:shd w:val="clear"/>
              <w:spacing w:before="100" w:line="234" w:lineRule="auto"/>
              <w:ind w:right="255" w:firstLine="544" w:firstLineChars="200"/>
              <w:jc w:val="both"/>
              <w:rPr>
                <w:color w:val="auto"/>
                <w:sz w:val="31"/>
                <w:szCs w:val="31"/>
              </w:rPr>
            </w:pPr>
            <w:r>
              <w:rPr>
                <w:rFonts w:hint="eastAsia"/>
                <w:color w:val="auto"/>
                <w:spacing w:val="-4"/>
                <w:lang w:eastAsia="zh-CN"/>
              </w:rPr>
              <w:t>国家金融监督管理总局大同监管分局浑源监管组</w:t>
            </w:r>
          </w:p>
        </w:tc>
        <w:tc>
          <w:tcPr>
            <w:tcW w:w="9402" w:type="dxa"/>
            <w:vAlign w:val="top"/>
          </w:tcPr>
          <w:p w14:paraId="4EFD45A2">
            <w:pPr>
              <w:shd w:val="clear"/>
              <w:spacing w:line="267" w:lineRule="auto"/>
              <w:rPr>
                <w:rFonts w:ascii="Arial"/>
                <w:color w:val="auto"/>
                <w:sz w:val="21"/>
              </w:rPr>
            </w:pPr>
          </w:p>
          <w:p w14:paraId="00E58B4F">
            <w:pPr>
              <w:pStyle w:val="19"/>
              <w:shd w:val="clear"/>
              <w:spacing w:before="91" w:line="253" w:lineRule="auto"/>
              <w:ind w:left="121" w:right="105" w:firstLine="8"/>
              <w:jc w:val="both"/>
              <w:rPr>
                <w:color w:val="auto"/>
              </w:rPr>
            </w:pPr>
            <w:r>
              <w:rPr>
                <w:color w:val="auto"/>
                <w:spacing w:val="6"/>
              </w:rPr>
              <w:t>负责指导银行保险机构快速恢复营业，组织、协调、督促、指导承保保险公司及时开展对投保的伤亡人员和受损财产的查勘和理赔；负责指导银行</w:t>
            </w:r>
            <w:r>
              <w:rPr>
                <w:color w:val="auto"/>
                <w:spacing w:val="-1"/>
              </w:rPr>
              <w:t>加强金库等安保重点部位和营业场所等重点区域的警戒，确保资金安全。</w:t>
            </w:r>
          </w:p>
        </w:tc>
      </w:tr>
    </w:tbl>
    <w:p w14:paraId="541F1950">
      <w:pPr>
        <w:shd w:val="clear"/>
        <w:rPr>
          <w:rFonts w:ascii="Arial" w:hAnsi="Arial" w:eastAsia="Arial" w:cs="Arial"/>
          <w:color w:val="auto"/>
          <w:sz w:val="21"/>
          <w:szCs w:val="21"/>
        </w:rPr>
        <w:sectPr>
          <w:footerReference r:id="rId8" w:type="default"/>
          <w:pgSz w:w="16840" w:h="11900"/>
          <w:pgMar w:top="1011" w:right="1538" w:bottom="1339" w:left="1292" w:header="0" w:footer="1060" w:gutter="0"/>
          <w:pgNumType w:fmt="numberInDash"/>
          <w:cols w:space="720" w:num="1"/>
        </w:sectPr>
      </w:pPr>
    </w:p>
    <w:p w14:paraId="630F2128">
      <w:pPr>
        <w:shd w:val="clear"/>
        <w:spacing w:before="164"/>
        <w:rPr>
          <w:color w:val="auto"/>
        </w:rPr>
      </w:pPr>
    </w:p>
    <w:tbl>
      <w:tblPr>
        <w:tblStyle w:val="18"/>
        <w:tblW w:w="14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3595"/>
        <w:gridCol w:w="9402"/>
      </w:tblGrid>
      <w:tr w14:paraId="4C76F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601" w:type="dxa"/>
            <w:gridSpan w:val="2"/>
            <w:vAlign w:val="top"/>
          </w:tcPr>
          <w:p w14:paraId="2BCF2DFA">
            <w:pPr>
              <w:shd w:val="clear"/>
              <w:spacing w:before="129" w:line="222" w:lineRule="auto"/>
              <w:ind w:left="1754"/>
              <w:rPr>
                <w:rFonts w:ascii="黑体" w:hAnsi="黑体" w:eastAsia="黑体" w:cs="黑体"/>
                <w:color w:val="auto"/>
                <w:sz w:val="28"/>
                <w:szCs w:val="28"/>
              </w:rPr>
            </w:pPr>
            <w:r>
              <w:rPr>
                <w:rFonts w:ascii="黑体" w:hAnsi="黑体" w:eastAsia="黑体" w:cs="黑体"/>
                <w:color w:val="auto"/>
                <w:spacing w:val="-4"/>
                <w:sz w:val="28"/>
                <w:szCs w:val="28"/>
              </w:rPr>
              <w:t>人员组成</w:t>
            </w:r>
          </w:p>
        </w:tc>
        <w:tc>
          <w:tcPr>
            <w:tcW w:w="9402" w:type="dxa"/>
            <w:vAlign w:val="top"/>
          </w:tcPr>
          <w:p w14:paraId="63EB1838">
            <w:pPr>
              <w:shd w:val="clear"/>
              <w:spacing w:before="129" w:line="222" w:lineRule="auto"/>
              <w:ind w:left="3726"/>
              <w:rPr>
                <w:rFonts w:ascii="黑体" w:hAnsi="黑体" w:eastAsia="黑体" w:cs="黑体"/>
                <w:color w:val="auto"/>
                <w:sz w:val="28"/>
                <w:szCs w:val="28"/>
              </w:rPr>
            </w:pPr>
            <w:r>
              <w:rPr>
                <w:rFonts w:ascii="黑体" w:hAnsi="黑体" w:eastAsia="黑体" w:cs="黑体"/>
                <w:color w:val="auto"/>
                <w:spacing w:val="-2"/>
                <w:sz w:val="28"/>
                <w:szCs w:val="28"/>
              </w:rPr>
              <w:t>指挥机构及职责</w:t>
            </w:r>
          </w:p>
        </w:tc>
      </w:tr>
      <w:tr w14:paraId="3D36D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1006" w:type="dxa"/>
            <w:vMerge w:val="restart"/>
            <w:tcBorders>
              <w:bottom w:val="nil"/>
            </w:tcBorders>
            <w:textDirection w:val="tbRlV"/>
            <w:vAlign w:val="top"/>
          </w:tcPr>
          <w:p w14:paraId="1DBD637A">
            <w:pPr>
              <w:pStyle w:val="19"/>
              <w:shd w:val="clear"/>
              <w:spacing w:before="141" w:line="201" w:lineRule="auto"/>
              <w:ind w:firstLine="1480" w:firstLineChars="500"/>
              <w:rPr>
                <w:color w:val="auto"/>
              </w:rPr>
            </w:pPr>
            <w:r>
              <w:rPr>
                <w:rFonts w:hint="eastAsia"/>
                <w:color w:val="auto"/>
                <w:spacing w:val="8"/>
                <w:lang w:eastAsia="zh-CN"/>
              </w:rPr>
              <w:t>成</w:t>
            </w:r>
            <w:r>
              <w:rPr>
                <w:rFonts w:hint="eastAsia"/>
                <w:color w:val="auto"/>
                <w:spacing w:val="8"/>
                <w:lang w:val="en-US" w:eastAsia="zh-CN"/>
              </w:rPr>
              <w:t xml:space="preserve">         </w:t>
            </w:r>
            <w:r>
              <w:rPr>
                <w:rFonts w:hint="eastAsia"/>
                <w:color w:val="auto"/>
                <w:spacing w:val="8"/>
                <w:lang w:eastAsia="zh-CN"/>
              </w:rPr>
              <w:t>员</w:t>
            </w:r>
          </w:p>
        </w:tc>
        <w:tc>
          <w:tcPr>
            <w:tcW w:w="3595" w:type="dxa"/>
            <w:vAlign w:val="top"/>
          </w:tcPr>
          <w:p w14:paraId="6E94421D">
            <w:pPr>
              <w:shd w:val="clear"/>
              <w:spacing w:line="327" w:lineRule="auto"/>
              <w:rPr>
                <w:rFonts w:ascii="Arial"/>
                <w:color w:val="auto"/>
                <w:sz w:val="21"/>
              </w:rPr>
            </w:pPr>
          </w:p>
          <w:p w14:paraId="5685F744">
            <w:pPr>
              <w:shd w:val="clear"/>
              <w:spacing w:line="328" w:lineRule="auto"/>
              <w:rPr>
                <w:rFonts w:ascii="Arial"/>
                <w:color w:val="auto"/>
                <w:sz w:val="21"/>
              </w:rPr>
            </w:pPr>
          </w:p>
          <w:p w14:paraId="445D9DC2">
            <w:pPr>
              <w:pStyle w:val="19"/>
              <w:shd w:val="clear"/>
              <w:spacing w:before="91" w:line="223" w:lineRule="auto"/>
              <w:jc w:val="center"/>
              <w:rPr>
                <w:color w:val="auto"/>
              </w:rPr>
            </w:pPr>
            <w:r>
              <w:rPr>
                <w:rFonts w:hint="eastAsia"/>
                <w:color w:val="auto"/>
                <w:spacing w:val="-5"/>
                <w:lang w:eastAsia="zh-CN"/>
              </w:rPr>
              <w:t>县</w:t>
            </w:r>
            <w:r>
              <w:rPr>
                <w:color w:val="auto"/>
                <w:spacing w:val="-5"/>
              </w:rPr>
              <w:t>红十字会</w:t>
            </w:r>
          </w:p>
        </w:tc>
        <w:tc>
          <w:tcPr>
            <w:tcW w:w="9402" w:type="dxa"/>
            <w:vAlign w:val="top"/>
          </w:tcPr>
          <w:p w14:paraId="1BE6AFAD">
            <w:pPr>
              <w:pStyle w:val="19"/>
              <w:shd w:val="clear"/>
              <w:spacing w:before="152" w:line="256" w:lineRule="auto"/>
              <w:ind w:left="122" w:right="107" w:firstLine="7"/>
              <w:rPr>
                <w:color w:val="auto"/>
              </w:rPr>
            </w:pPr>
            <w:r>
              <w:rPr>
                <w:color w:val="auto"/>
                <w:spacing w:val="6"/>
              </w:rPr>
              <w:t>负责做好志愿者队伍的管理与调配；依法开展救灾募捐活动，负责接收国内外组织和个人通过红十字会捐助的物资和资金，保证专款专用；负责组织红十字会员和志愿者参加医疗防疫并做好相关动员</w:t>
            </w:r>
            <w:r>
              <w:rPr>
                <w:rFonts w:hint="eastAsia"/>
                <w:color w:val="auto"/>
                <w:spacing w:val="6"/>
                <w:lang w:eastAsia="zh-CN"/>
              </w:rPr>
              <w:t>、</w:t>
            </w:r>
            <w:r>
              <w:rPr>
                <w:color w:val="auto"/>
                <w:spacing w:val="6"/>
              </w:rPr>
              <w:t>引导、管理工作；</w:t>
            </w:r>
            <w:r>
              <w:rPr>
                <w:color w:val="auto"/>
                <w:spacing w:val="-1"/>
              </w:rPr>
              <w:t>开展自然灾害预防、避险和自救、互救的知识宣传。</w:t>
            </w:r>
          </w:p>
        </w:tc>
      </w:tr>
      <w:tr w14:paraId="73A32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006" w:type="dxa"/>
            <w:vMerge w:val="continue"/>
            <w:tcBorders>
              <w:top w:val="nil"/>
              <w:bottom w:val="nil"/>
            </w:tcBorders>
            <w:textDirection w:val="tbRlV"/>
            <w:vAlign w:val="top"/>
          </w:tcPr>
          <w:p w14:paraId="121E846E">
            <w:pPr>
              <w:shd w:val="clear"/>
              <w:rPr>
                <w:rFonts w:ascii="Arial"/>
                <w:color w:val="auto"/>
                <w:sz w:val="21"/>
              </w:rPr>
            </w:pPr>
          </w:p>
        </w:tc>
        <w:tc>
          <w:tcPr>
            <w:tcW w:w="3595" w:type="dxa"/>
            <w:vAlign w:val="top"/>
          </w:tcPr>
          <w:p w14:paraId="450F23B5">
            <w:pPr>
              <w:shd w:val="clear"/>
              <w:spacing w:line="288" w:lineRule="auto"/>
              <w:rPr>
                <w:rFonts w:ascii="Arial"/>
                <w:color w:val="auto"/>
                <w:sz w:val="21"/>
              </w:rPr>
            </w:pPr>
          </w:p>
          <w:p w14:paraId="04B93F87">
            <w:pPr>
              <w:pStyle w:val="19"/>
              <w:shd w:val="clear"/>
              <w:spacing w:before="91" w:line="221" w:lineRule="auto"/>
              <w:ind w:firstLine="548" w:firstLineChars="200"/>
              <w:rPr>
                <w:rFonts w:hint="eastAsia" w:eastAsia="仿宋"/>
                <w:color w:val="auto"/>
                <w:lang w:eastAsia="zh-CN"/>
              </w:rPr>
            </w:pPr>
            <w:r>
              <w:rPr>
                <w:rFonts w:hint="eastAsia"/>
                <w:color w:val="auto"/>
                <w:spacing w:val="-3"/>
                <w:lang w:eastAsia="zh-CN"/>
              </w:rPr>
              <w:t>浑源百川</w:t>
            </w:r>
            <w:r>
              <w:rPr>
                <w:color w:val="auto"/>
                <w:spacing w:val="-3"/>
              </w:rPr>
              <w:t>煤业</w:t>
            </w:r>
            <w:r>
              <w:rPr>
                <w:rFonts w:hint="eastAsia"/>
                <w:color w:val="auto"/>
                <w:spacing w:val="-3"/>
                <w:lang w:eastAsia="zh-CN"/>
              </w:rPr>
              <w:t>有限公司</w:t>
            </w:r>
          </w:p>
        </w:tc>
        <w:tc>
          <w:tcPr>
            <w:tcW w:w="9402" w:type="dxa"/>
            <w:vAlign w:val="top"/>
          </w:tcPr>
          <w:p w14:paraId="6FAF3131">
            <w:pPr>
              <w:pStyle w:val="19"/>
              <w:shd w:val="clear"/>
              <w:spacing w:before="180" w:line="248" w:lineRule="auto"/>
              <w:ind w:left="122" w:right="107" w:firstLine="7"/>
              <w:rPr>
                <w:color w:val="auto"/>
              </w:rPr>
            </w:pPr>
            <w:r>
              <w:rPr>
                <w:color w:val="auto"/>
                <w:spacing w:val="6"/>
              </w:rPr>
              <w:t>组织灾区煤矿等企</w:t>
            </w:r>
            <w:r>
              <w:rPr>
                <w:color w:val="auto"/>
                <w:spacing w:val="-2"/>
              </w:rPr>
              <w:t>业开展次生灾害抢、排险工作。</w:t>
            </w:r>
          </w:p>
        </w:tc>
      </w:tr>
      <w:tr w14:paraId="574A3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006" w:type="dxa"/>
            <w:vMerge w:val="continue"/>
            <w:tcBorders>
              <w:top w:val="nil"/>
              <w:bottom w:val="nil"/>
            </w:tcBorders>
            <w:textDirection w:val="tbRlV"/>
            <w:vAlign w:val="top"/>
          </w:tcPr>
          <w:p w14:paraId="6A977223">
            <w:pPr>
              <w:shd w:val="clear"/>
              <w:rPr>
                <w:rFonts w:ascii="Arial"/>
                <w:color w:val="auto"/>
                <w:sz w:val="21"/>
              </w:rPr>
            </w:pPr>
          </w:p>
        </w:tc>
        <w:tc>
          <w:tcPr>
            <w:tcW w:w="3595" w:type="dxa"/>
            <w:vAlign w:val="top"/>
          </w:tcPr>
          <w:p w14:paraId="4DDAD394">
            <w:pPr>
              <w:pStyle w:val="19"/>
              <w:shd w:val="clear"/>
              <w:spacing w:before="180" w:line="250" w:lineRule="auto"/>
              <w:ind w:left="1779" w:leftChars="305" w:right="193" w:hanging="1139" w:hangingChars="419"/>
              <w:rPr>
                <w:color w:val="auto"/>
              </w:rPr>
            </w:pPr>
            <w:r>
              <w:rPr>
                <w:color w:val="auto"/>
                <w:spacing w:val="-4"/>
              </w:rPr>
              <w:t>国网</w:t>
            </w:r>
            <w:r>
              <w:rPr>
                <w:rFonts w:hint="eastAsia"/>
                <w:color w:val="auto"/>
                <w:spacing w:val="-4"/>
                <w:lang w:eastAsia="zh-CN"/>
              </w:rPr>
              <w:t>浑源</w:t>
            </w:r>
            <w:r>
              <w:rPr>
                <w:color w:val="auto"/>
                <w:spacing w:val="-4"/>
              </w:rPr>
              <w:t>供电</w:t>
            </w:r>
            <w:r>
              <w:rPr>
                <w:rFonts w:hint="eastAsia"/>
                <w:color w:val="auto"/>
                <w:spacing w:val="-4"/>
                <w:lang w:eastAsia="zh-CN"/>
              </w:rPr>
              <w:t>支</w:t>
            </w:r>
            <w:r>
              <w:rPr>
                <w:color w:val="auto"/>
                <w:spacing w:val="-12"/>
              </w:rPr>
              <w:t>公司</w:t>
            </w:r>
          </w:p>
        </w:tc>
        <w:tc>
          <w:tcPr>
            <w:tcW w:w="9402" w:type="dxa"/>
            <w:vAlign w:val="top"/>
          </w:tcPr>
          <w:p w14:paraId="0562DC81">
            <w:pPr>
              <w:pStyle w:val="19"/>
              <w:shd w:val="clear"/>
              <w:spacing w:before="180" w:line="249" w:lineRule="auto"/>
              <w:ind w:left="123" w:right="145" w:firstLine="6"/>
              <w:rPr>
                <w:color w:val="auto"/>
              </w:rPr>
            </w:pPr>
            <w:r>
              <w:rPr>
                <w:color w:val="auto"/>
                <w:spacing w:val="5"/>
              </w:rPr>
              <w:t>负责供电范围内的损毁供电设备的修复，保障供电范围内灾区正常用电。</w:t>
            </w:r>
            <w:r>
              <w:rPr>
                <w:color w:val="auto"/>
              </w:rPr>
              <w:t xml:space="preserve"> </w:t>
            </w:r>
            <w:r>
              <w:rPr>
                <w:color w:val="auto"/>
                <w:spacing w:val="-2"/>
              </w:rPr>
              <w:t>保障</w:t>
            </w:r>
            <w:r>
              <w:rPr>
                <w:rFonts w:hint="eastAsia"/>
                <w:color w:val="auto"/>
                <w:spacing w:val="-2"/>
                <w:lang w:eastAsia="zh-CN"/>
              </w:rPr>
              <w:t>县</w:t>
            </w:r>
            <w:r>
              <w:rPr>
                <w:color w:val="auto"/>
                <w:spacing w:val="-2"/>
              </w:rPr>
              <w:t>指挥部应急用电。</w:t>
            </w:r>
          </w:p>
        </w:tc>
      </w:tr>
      <w:tr w14:paraId="119A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6" w:type="dxa"/>
            <w:vMerge w:val="continue"/>
            <w:tcBorders>
              <w:top w:val="nil"/>
              <w:bottom w:val="single" w:color="auto" w:sz="4" w:space="0"/>
            </w:tcBorders>
            <w:textDirection w:val="tbRlV"/>
            <w:vAlign w:val="top"/>
          </w:tcPr>
          <w:p w14:paraId="7FF29A8F">
            <w:pPr>
              <w:shd w:val="clear"/>
              <w:rPr>
                <w:rFonts w:ascii="Arial"/>
                <w:color w:val="auto"/>
                <w:sz w:val="21"/>
              </w:rPr>
            </w:pPr>
          </w:p>
        </w:tc>
        <w:tc>
          <w:tcPr>
            <w:tcW w:w="3595" w:type="dxa"/>
            <w:vAlign w:val="top"/>
          </w:tcPr>
          <w:p w14:paraId="53D5CAE3">
            <w:pPr>
              <w:pStyle w:val="19"/>
              <w:shd w:val="clear"/>
              <w:spacing w:before="82" w:line="235" w:lineRule="auto"/>
              <w:ind w:left="1755" w:right="193" w:hanging="1543"/>
              <w:rPr>
                <w:color w:val="auto"/>
              </w:rPr>
            </w:pPr>
            <w:r>
              <w:rPr>
                <w:rFonts w:hint="eastAsia"/>
                <w:color w:val="auto"/>
                <w:spacing w:val="-2"/>
                <w:lang w:eastAsia="zh-CN"/>
              </w:rPr>
              <w:t>浑源</w:t>
            </w:r>
            <w:r>
              <w:rPr>
                <w:color w:val="auto"/>
                <w:spacing w:val="-2"/>
              </w:rPr>
              <w:t>移动、联通、电信</w:t>
            </w:r>
            <w:r>
              <w:rPr>
                <w:color w:val="auto"/>
                <w:spacing w:val="-12"/>
              </w:rPr>
              <w:t>公司</w:t>
            </w:r>
          </w:p>
        </w:tc>
        <w:tc>
          <w:tcPr>
            <w:tcW w:w="9402" w:type="dxa"/>
            <w:vAlign w:val="top"/>
          </w:tcPr>
          <w:p w14:paraId="1F93D933">
            <w:pPr>
              <w:pStyle w:val="19"/>
              <w:shd w:val="clear"/>
              <w:spacing w:before="283" w:line="221" w:lineRule="auto"/>
              <w:ind w:left="130"/>
              <w:rPr>
                <w:color w:val="auto"/>
              </w:rPr>
            </w:pPr>
            <w:r>
              <w:rPr>
                <w:color w:val="auto"/>
                <w:spacing w:val="-2"/>
              </w:rPr>
              <w:t>负责恢复通信设施，做好通信保障应急工作。</w:t>
            </w:r>
          </w:p>
        </w:tc>
      </w:tr>
    </w:tbl>
    <w:p w14:paraId="6500DA86">
      <w:pPr>
        <w:shd w:val="clear"/>
        <w:rPr>
          <w:rFonts w:ascii="Arial"/>
          <w:color w:val="auto"/>
          <w:sz w:val="21"/>
        </w:rPr>
      </w:pPr>
    </w:p>
    <w:p w14:paraId="3978BDE8">
      <w:pPr>
        <w:shd w:val="clear"/>
        <w:rPr>
          <w:rFonts w:ascii="Arial" w:hAnsi="Arial" w:eastAsia="Arial" w:cs="Arial"/>
          <w:color w:val="auto"/>
          <w:sz w:val="21"/>
          <w:szCs w:val="21"/>
        </w:rPr>
        <w:sectPr>
          <w:footerReference r:id="rId9" w:type="default"/>
          <w:pgSz w:w="16840" w:h="11900"/>
          <w:pgMar w:top="1011" w:right="1538" w:bottom="1339" w:left="1292" w:header="0" w:footer="1060" w:gutter="0"/>
          <w:pgNumType w:fmt="numberInDash"/>
          <w:cols w:space="720" w:num="1"/>
        </w:sectPr>
      </w:pPr>
    </w:p>
    <w:p w14:paraId="22CCCFAF">
      <w:pPr>
        <w:shd w:val="clear"/>
        <w:spacing w:line="253" w:lineRule="auto"/>
        <w:rPr>
          <w:rFonts w:ascii="Arial"/>
          <w:color w:val="auto"/>
          <w:sz w:val="21"/>
        </w:rPr>
      </w:pPr>
    </w:p>
    <w:p w14:paraId="2894AEEA">
      <w:pPr>
        <w:shd w:val="clear"/>
        <w:spacing w:line="254" w:lineRule="auto"/>
        <w:rPr>
          <w:rFonts w:ascii="Arial"/>
          <w:color w:val="auto"/>
          <w:sz w:val="21"/>
        </w:rPr>
      </w:pPr>
    </w:p>
    <w:p w14:paraId="6685A332">
      <w:pPr>
        <w:shd w:val="clear"/>
        <w:spacing w:before="101" w:line="230" w:lineRule="auto"/>
        <w:ind w:left="29"/>
        <w:rPr>
          <w:rFonts w:ascii="黑体" w:hAnsi="黑体" w:eastAsia="黑体" w:cs="黑体"/>
          <w:color w:val="auto"/>
          <w:sz w:val="31"/>
          <w:szCs w:val="31"/>
        </w:rPr>
      </w:pPr>
      <w:r>
        <w:rPr>
          <w:rFonts w:ascii="黑体" w:hAnsi="黑体" w:eastAsia="黑体" w:cs="黑体"/>
          <w:color w:val="auto"/>
          <w:spacing w:val="-4"/>
          <w:sz w:val="31"/>
          <w:szCs w:val="31"/>
        </w:rPr>
        <w:t>附件</w:t>
      </w:r>
      <w:r>
        <w:rPr>
          <w:rFonts w:ascii="黑体" w:hAnsi="黑体" w:eastAsia="黑体" w:cs="黑体"/>
          <w:color w:val="auto"/>
          <w:spacing w:val="-61"/>
          <w:sz w:val="31"/>
          <w:szCs w:val="31"/>
        </w:rPr>
        <w:t xml:space="preserve"> </w:t>
      </w:r>
      <w:r>
        <w:rPr>
          <w:rFonts w:ascii="黑体" w:hAnsi="黑体" w:eastAsia="黑体" w:cs="黑体"/>
          <w:color w:val="auto"/>
          <w:spacing w:val="-4"/>
          <w:sz w:val="31"/>
          <w:szCs w:val="31"/>
        </w:rPr>
        <w:t>3</w:t>
      </w:r>
    </w:p>
    <w:p w14:paraId="66BD7F5F">
      <w:pPr>
        <w:shd w:val="clear"/>
        <w:spacing w:before="86" w:line="225" w:lineRule="auto"/>
        <w:ind w:left="3006"/>
        <w:rPr>
          <w:rFonts w:ascii="黑体" w:hAnsi="黑体" w:eastAsia="黑体" w:cs="黑体"/>
          <w:color w:val="auto"/>
          <w:sz w:val="43"/>
          <w:szCs w:val="43"/>
        </w:rPr>
      </w:pPr>
      <w:r>
        <w:rPr>
          <w:rFonts w:ascii="黑体" w:hAnsi="黑体" w:eastAsia="黑体" w:cs="黑体"/>
          <w:color w:val="auto"/>
          <w:spacing w:val="8"/>
          <w:sz w:val="43"/>
          <w:szCs w:val="43"/>
        </w:rPr>
        <w:t>地质灾害气象风险预警级别及预警措施</w:t>
      </w:r>
    </w:p>
    <w:p w14:paraId="65249750">
      <w:pPr>
        <w:shd w:val="clear"/>
        <w:spacing w:before="189"/>
        <w:rPr>
          <w:color w:val="auto"/>
        </w:rPr>
      </w:pPr>
    </w:p>
    <w:tbl>
      <w:tblPr>
        <w:tblStyle w:val="18"/>
        <w:tblW w:w="13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520"/>
        <w:gridCol w:w="3213"/>
        <w:gridCol w:w="3267"/>
        <w:gridCol w:w="3393"/>
      </w:tblGrid>
      <w:tr w14:paraId="00F60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58" w:type="dxa"/>
            <w:vAlign w:val="top"/>
          </w:tcPr>
          <w:p w14:paraId="48C4B21C">
            <w:pPr>
              <w:shd w:val="clear"/>
              <w:spacing w:before="175" w:line="230" w:lineRule="auto"/>
              <w:ind w:left="257" w:right="247" w:firstLine="2"/>
              <w:rPr>
                <w:rFonts w:ascii="黑体" w:hAnsi="黑体" w:eastAsia="黑体" w:cs="黑体"/>
                <w:color w:val="auto"/>
                <w:sz w:val="28"/>
                <w:szCs w:val="28"/>
              </w:rPr>
            </w:pPr>
            <w:r>
              <w:rPr>
                <w:rFonts w:ascii="黑体" w:hAnsi="黑体" w:eastAsia="黑体" w:cs="黑体"/>
                <w:color w:val="auto"/>
                <w:spacing w:val="-7"/>
                <w:sz w:val="28"/>
                <w:szCs w:val="28"/>
              </w:rPr>
              <w:t>预警</w:t>
            </w:r>
            <w:r>
              <w:rPr>
                <w:rFonts w:ascii="黑体" w:hAnsi="黑体" w:eastAsia="黑体" w:cs="黑体"/>
                <w:color w:val="auto"/>
                <w:sz w:val="28"/>
                <w:szCs w:val="28"/>
              </w:rPr>
              <w:t xml:space="preserve"> </w:t>
            </w:r>
            <w:r>
              <w:rPr>
                <w:rFonts w:ascii="黑体" w:hAnsi="黑体" w:eastAsia="黑体" w:cs="黑体"/>
                <w:color w:val="auto"/>
                <w:spacing w:val="-6"/>
                <w:sz w:val="28"/>
                <w:szCs w:val="28"/>
              </w:rPr>
              <w:t>级别</w:t>
            </w:r>
          </w:p>
        </w:tc>
        <w:tc>
          <w:tcPr>
            <w:tcW w:w="2520" w:type="dxa"/>
            <w:vAlign w:val="top"/>
          </w:tcPr>
          <w:p w14:paraId="1B35941E">
            <w:pPr>
              <w:shd w:val="clear"/>
              <w:spacing w:line="261" w:lineRule="auto"/>
              <w:rPr>
                <w:rFonts w:ascii="Arial"/>
                <w:color w:val="auto"/>
                <w:sz w:val="21"/>
              </w:rPr>
            </w:pPr>
          </w:p>
          <w:p w14:paraId="0C33E668">
            <w:pPr>
              <w:shd w:val="clear"/>
              <w:spacing w:before="91" w:line="222" w:lineRule="auto"/>
              <w:ind w:left="584"/>
              <w:rPr>
                <w:rFonts w:ascii="黑体" w:hAnsi="黑体" w:eastAsia="黑体" w:cs="黑体"/>
                <w:color w:val="auto"/>
                <w:sz w:val="28"/>
                <w:szCs w:val="28"/>
              </w:rPr>
            </w:pPr>
            <w:r>
              <w:rPr>
                <w:rFonts w:ascii="黑体" w:hAnsi="黑体" w:eastAsia="黑体" w:cs="黑体"/>
                <w:color w:val="auto"/>
                <w:spacing w:val="-5"/>
                <w:sz w:val="28"/>
                <w:szCs w:val="28"/>
              </w:rPr>
              <w:t>四级（蓝色）</w:t>
            </w:r>
          </w:p>
        </w:tc>
        <w:tc>
          <w:tcPr>
            <w:tcW w:w="3213" w:type="dxa"/>
            <w:vAlign w:val="top"/>
          </w:tcPr>
          <w:p w14:paraId="6F479DCD">
            <w:pPr>
              <w:shd w:val="clear"/>
              <w:spacing w:line="261" w:lineRule="auto"/>
              <w:rPr>
                <w:rFonts w:ascii="Arial"/>
                <w:color w:val="auto"/>
                <w:sz w:val="21"/>
              </w:rPr>
            </w:pPr>
          </w:p>
          <w:p w14:paraId="4BB2732F">
            <w:pPr>
              <w:shd w:val="clear"/>
              <w:spacing w:before="91" w:line="222" w:lineRule="auto"/>
              <w:ind w:left="853"/>
              <w:rPr>
                <w:rFonts w:ascii="黑体" w:hAnsi="黑体" w:eastAsia="黑体" w:cs="黑体"/>
                <w:color w:val="auto"/>
                <w:sz w:val="28"/>
                <w:szCs w:val="28"/>
              </w:rPr>
            </w:pPr>
            <w:r>
              <w:rPr>
                <w:rFonts w:ascii="黑体" w:hAnsi="黑体" w:eastAsia="黑体" w:cs="黑体"/>
                <w:color w:val="auto"/>
                <w:spacing w:val="-3"/>
                <w:sz w:val="28"/>
                <w:szCs w:val="28"/>
              </w:rPr>
              <w:t>三级（黄色）</w:t>
            </w:r>
          </w:p>
        </w:tc>
        <w:tc>
          <w:tcPr>
            <w:tcW w:w="3267" w:type="dxa"/>
            <w:vAlign w:val="top"/>
          </w:tcPr>
          <w:p w14:paraId="500B7CFE">
            <w:pPr>
              <w:shd w:val="clear"/>
              <w:spacing w:line="261" w:lineRule="auto"/>
              <w:rPr>
                <w:rFonts w:ascii="Arial"/>
                <w:color w:val="auto"/>
                <w:sz w:val="21"/>
              </w:rPr>
            </w:pPr>
          </w:p>
          <w:p w14:paraId="040C25FD">
            <w:pPr>
              <w:shd w:val="clear"/>
              <w:spacing w:before="91" w:line="222" w:lineRule="auto"/>
              <w:ind w:left="855"/>
              <w:rPr>
                <w:rFonts w:ascii="黑体" w:hAnsi="黑体" w:eastAsia="黑体" w:cs="黑体"/>
                <w:color w:val="auto"/>
                <w:sz w:val="28"/>
                <w:szCs w:val="28"/>
              </w:rPr>
            </w:pPr>
            <w:r>
              <w:rPr>
                <w:rFonts w:ascii="黑体" w:hAnsi="黑体" w:eastAsia="黑体" w:cs="黑体"/>
                <w:color w:val="auto"/>
                <w:spacing w:val="-3"/>
                <w:sz w:val="28"/>
                <w:szCs w:val="28"/>
              </w:rPr>
              <w:t>二级（橙色）</w:t>
            </w:r>
          </w:p>
        </w:tc>
        <w:tc>
          <w:tcPr>
            <w:tcW w:w="3393" w:type="dxa"/>
            <w:vAlign w:val="top"/>
          </w:tcPr>
          <w:p w14:paraId="3625B7DD">
            <w:pPr>
              <w:shd w:val="clear"/>
              <w:spacing w:line="261" w:lineRule="auto"/>
              <w:rPr>
                <w:rFonts w:ascii="Arial"/>
                <w:color w:val="auto"/>
                <w:sz w:val="21"/>
              </w:rPr>
            </w:pPr>
          </w:p>
          <w:p w14:paraId="107F77C0">
            <w:pPr>
              <w:shd w:val="clear"/>
              <w:spacing w:before="91" w:line="222" w:lineRule="auto"/>
              <w:ind w:left="1136"/>
              <w:rPr>
                <w:rFonts w:ascii="黑体" w:hAnsi="黑体" w:eastAsia="黑体" w:cs="黑体"/>
                <w:color w:val="auto"/>
                <w:sz w:val="28"/>
                <w:szCs w:val="28"/>
              </w:rPr>
            </w:pPr>
            <w:r>
              <w:rPr>
                <w:rFonts w:ascii="黑体" w:hAnsi="黑体" w:eastAsia="黑体" w:cs="黑体"/>
                <w:color w:val="auto"/>
                <w:spacing w:val="-3"/>
                <w:sz w:val="28"/>
                <w:szCs w:val="28"/>
              </w:rPr>
              <w:t>一级（红色）</w:t>
            </w:r>
          </w:p>
        </w:tc>
      </w:tr>
      <w:tr w14:paraId="50693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058" w:type="dxa"/>
            <w:vAlign w:val="top"/>
          </w:tcPr>
          <w:p w14:paraId="741CCED1">
            <w:pPr>
              <w:shd w:val="clear"/>
              <w:spacing w:line="283" w:lineRule="auto"/>
              <w:rPr>
                <w:rFonts w:ascii="Arial"/>
                <w:color w:val="auto"/>
                <w:sz w:val="21"/>
              </w:rPr>
            </w:pPr>
          </w:p>
          <w:p w14:paraId="7D6DB3D4">
            <w:pPr>
              <w:shd w:val="clear"/>
              <w:spacing w:line="283" w:lineRule="auto"/>
              <w:rPr>
                <w:rFonts w:ascii="Arial"/>
                <w:color w:val="auto"/>
                <w:sz w:val="21"/>
              </w:rPr>
            </w:pPr>
          </w:p>
          <w:p w14:paraId="137F9410">
            <w:pPr>
              <w:shd w:val="clear"/>
              <w:spacing w:before="91" w:line="224" w:lineRule="auto"/>
              <w:ind w:left="292"/>
              <w:rPr>
                <w:rFonts w:ascii="黑体" w:hAnsi="黑体" w:eastAsia="黑体" w:cs="黑体"/>
                <w:color w:val="auto"/>
                <w:sz w:val="28"/>
                <w:szCs w:val="28"/>
              </w:rPr>
            </w:pPr>
            <w:r>
              <w:rPr>
                <w:rFonts w:ascii="黑体" w:hAnsi="黑体" w:eastAsia="黑体" w:cs="黑体"/>
                <w:color w:val="auto"/>
                <w:spacing w:val="-6"/>
                <w:sz w:val="28"/>
                <w:szCs w:val="28"/>
              </w:rPr>
              <w:t>含义</w:t>
            </w:r>
          </w:p>
        </w:tc>
        <w:tc>
          <w:tcPr>
            <w:tcW w:w="2520" w:type="dxa"/>
            <w:vAlign w:val="top"/>
          </w:tcPr>
          <w:p w14:paraId="4BB1498C">
            <w:pPr>
              <w:pStyle w:val="19"/>
              <w:shd w:val="clear"/>
              <w:spacing w:before="281" w:line="254" w:lineRule="auto"/>
              <w:ind w:left="12" w:firstLine="5"/>
              <w:jc w:val="both"/>
              <w:rPr>
                <w:color w:val="auto"/>
              </w:rPr>
            </w:pPr>
            <w:r>
              <w:rPr>
                <w:color w:val="auto"/>
                <w:spacing w:val="-9"/>
              </w:rPr>
              <w:t>预</w:t>
            </w:r>
            <w:r>
              <w:rPr>
                <w:color w:val="auto"/>
                <w:spacing w:val="-77"/>
              </w:rPr>
              <w:t xml:space="preserve"> </w:t>
            </w:r>
            <w:r>
              <w:rPr>
                <w:color w:val="auto"/>
                <w:spacing w:val="-9"/>
              </w:rPr>
              <w:t>计因</w:t>
            </w:r>
            <w:r>
              <w:rPr>
                <w:color w:val="auto"/>
                <w:spacing w:val="-73"/>
              </w:rPr>
              <w:t xml:space="preserve"> </w:t>
            </w:r>
            <w:r>
              <w:rPr>
                <w:color w:val="auto"/>
                <w:spacing w:val="-9"/>
              </w:rPr>
              <w:t>气</w:t>
            </w:r>
            <w:r>
              <w:rPr>
                <w:color w:val="auto"/>
                <w:spacing w:val="-75"/>
              </w:rPr>
              <w:t xml:space="preserve"> </w:t>
            </w:r>
            <w:r>
              <w:rPr>
                <w:color w:val="auto"/>
                <w:spacing w:val="-9"/>
              </w:rPr>
              <w:t>象因</w:t>
            </w:r>
            <w:r>
              <w:rPr>
                <w:color w:val="auto"/>
                <w:spacing w:val="-68"/>
              </w:rPr>
              <w:t xml:space="preserve"> </w:t>
            </w:r>
            <w:r>
              <w:rPr>
                <w:color w:val="auto"/>
                <w:spacing w:val="-9"/>
              </w:rPr>
              <w:t>素</w:t>
            </w:r>
            <w:r>
              <w:rPr>
                <w:color w:val="auto"/>
                <w:spacing w:val="-80"/>
              </w:rPr>
              <w:t xml:space="preserve"> </w:t>
            </w:r>
            <w:r>
              <w:rPr>
                <w:color w:val="auto"/>
                <w:spacing w:val="-9"/>
              </w:rPr>
              <w:t>致</w:t>
            </w:r>
            <w:r>
              <w:rPr>
                <w:color w:val="auto"/>
              </w:rPr>
              <w:t xml:space="preserve"> </w:t>
            </w:r>
            <w:r>
              <w:rPr>
                <w:color w:val="auto"/>
                <w:spacing w:val="32"/>
              </w:rPr>
              <w:t>突发地质灾害发生</w:t>
            </w:r>
            <w:r>
              <w:rPr>
                <w:color w:val="auto"/>
                <w:spacing w:val="-3"/>
              </w:rPr>
              <w:t>有一定风险。</w:t>
            </w:r>
          </w:p>
        </w:tc>
        <w:tc>
          <w:tcPr>
            <w:tcW w:w="3213" w:type="dxa"/>
            <w:vAlign w:val="top"/>
          </w:tcPr>
          <w:p w14:paraId="2C173BCF">
            <w:pPr>
              <w:shd w:val="clear"/>
              <w:spacing w:line="389" w:lineRule="auto"/>
              <w:rPr>
                <w:rFonts w:ascii="Arial"/>
                <w:color w:val="auto"/>
                <w:sz w:val="21"/>
              </w:rPr>
            </w:pPr>
          </w:p>
          <w:p w14:paraId="67C267B7">
            <w:pPr>
              <w:pStyle w:val="19"/>
              <w:shd w:val="clear"/>
              <w:spacing w:before="91" w:line="247" w:lineRule="auto"/>
              <w:ind w:left="22" w:hanging="4"/>
              <w:rPr>
                <w:color w:val="auto"/>
              </w:rPr>
            </w:pPr>
            <w:r>
              <w:rPr>
                <w:color w:val="auto"/>
                <w:spacing w:val="9"/>
              </w:rPr>
              <w:t>预计因气象因素致突发地</w:t>
            </w:r>
            <w:r>
              <w:rPr>
                <w:color w:val="auto"/>
                <w:spacing w:val="-3"/>
              </w:rPr>
              <w:t>质灾害发生的风险较高。</w:t>
            </w:r>
          </w:p>
        </w:tc>
        <w:tc>
          <w:tcPr>
            <w:tcW w:w="3267" w:type="dxa"/>
            <w:vAlign w:val="top"/>
          </w:tcPr>
          <w:p w14:paraId="6C9D68D7">
            <w:pPr>
              <w:shd w:val="clear"/>
              <w:spacing w:line="388" w:lineRule="auto"/>
              <w:rPr>
                <w:rFonts w:ascii="Arial"/>
                <w:color w:val="auto"/>
                <w:sz w:val="21"/>
              </w:rPr>
            </w:pPr>
          </w:p>
          <w:p w14:paraId="7E426589">
            <w:pPr>
              <w:pStyle w:val="19"/>
              <w:shd w:val="clear"/>
              <w:spacing w:before="91" w:line="248" w:lineRule="auto"/>
              <w:ind w:left="25" w:hanging="4"/>
              <w:rPr>
                <w:color w:val="auto"/>
              </w:rPr>
            </w:pPr>
            <w:r>
              <w:rPr>
                <w:color w:val="auto"/>
                <w:spacing w:val="14"/>
              </w:rPr>
              <w:t>预计因气象因素致突发地</w:t>
            </w:r>
            <w:r>
              <w:rPr>
                <w:color w:val="auto"/>
                <w:spacing w:val="-3"/>
              </w:rPr>
              <w:t>质灾害发生的风险高。</w:t>
            </w:r>
          </w:p>
        </w:tc>
        <w:tc>
          <w:tcPr>
            <w:tcW w:w="3393" w:type="dxa"/>
            <w:vAlign w:val="top"/>
          </w:tcPr>
          <w:p w14:paraId="4724E419">
            <w:pPr>
              <w:shd w:val="clear"/>
              <w:spacing w:line="387" w:lineRule="auto"/>
              <w:rPr>
                <w:rFonts w:ascii="Arial"/>
                <w:color w:val="auto"/>
                <w:sz w:val="21"/>
              </w:rPr>
            </w:pPr>
          </w:p>
          <w:p w14:paraId="6A037144">
            <w:pPr>
              <w:pStyle w:val="19"/>
              <w:shd w:val="clear"/>
              <w:spacing w:before="91" w:line="248" w:lineRule="auto"/>
              <w:ind w:left="315" w:right="13" w:hanging="281"/>
              <w:jc w:val="both"/>
              <w:rPr>
                <w:color w:val="auto"/>
              </w:rPr>
            </w:pPr>
            <w:r>
              <w:rPr>
                <w:color w:val="auto"/>
                <w:spacing w:val="-2"/>
              </w:rPr>
              <w:t>预计因气象因素致突发地质</w:t>
            </w:r>
            <w:r>
              <w:rPr>
                <w:color w:val="auto"/>
                <w:spacing w:val="-3"/>
              </w:rPr>
              <w:t>灾害发生的风险很高。</w:t>
            </w:r>
          </w:p>
        </w:tc>
      </w:tr>
      <w:tr w14:paraId="4519D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9" w:hRule="atLeast"/>
        </w:trPr>
        <w:tc>
          <w:tcPr>
            <w:tcW w:w="1058" w:type="dxa"/>
            <w:vAlign w:val="top"/>
          </w:tcPr>
          <w:p w14:paraId="08764B13">
            <w:pPr>
              <w:shd w:val="clear"/>
              <w:spacing w:line="276" w:lineRule="auto"/>
              <w:rPr>
                <w:rFonts w:ascii="Arial"/>
                <w:color w:val="auto"/>
                <w:sz w:val="21"/>
              </w:rPr>
            </w:pPr>
          </w:p>
          <w:p w14:paraId="4AD12D32">
            <w:pPr>
              <w:shd w:val="clear"/>
              <w:spacing w:line="277" w:lineRule="auto"/>
              <w:rPr>
                <w:rFonts w:ascii="Arial"/>
                <w:color w:val="auto"/>
                <w:sz w:val="21"/>
              </w:rPr>
            </w:pPr>
          </w:p>
          <w:p w14:paraId="518EC5B0">
            <w:pPr>
              <w:shd w:val="clear"/>
              <w:spacing w:line="277" w:lineRule="auto"/>
              <w:rPr>
                <w:rFonts w:ascii="Arial"/>
                <w:color w:val="auto"/>
                <w:sz w:val="21"/>
              </w:rPr>
            </w:pPr>
          </w:p>
          <w:p w14:paraId="3708894C">
            <w:pPr>
              <w:shd w:val="clear"/>
              <w:spacing w:line="277" w:lineRule="auto"/>
              <w:rPr>
                <w:rFonts w:ascii="Arial"/>
                <w:color w:val="auto"/>
                <w:sz w:val="21"/>
              </w:rPr>
            </w:pPr>
          </w:p>
          <w:p w14:paraId="6265FBD8">
            <w:pPr>
              <w:shd w:val="clear"/>
              <w:spacing w:line="277" w:lineRule="auto"/>
              <w:rPr>
                <w:rFonts w:ascii="Arial"/>
                <w:color w:val="auto"/>
                <w:sz w:val="21"/>
              </w:rPr>
            </w:pPr>
          </w:p>
          <w:p w14:paraId="72A5F8BA">
            <w:pPr>
              <w:shd w:val="clear"/>
              <w:spacing w:line="277" w:lineRule="auto"/>
              <w:rPr>
                <w:rFonts w:ascii="Arial"/>
                <w:color w:val="auto"/>
                <w:sz w:val="21"/>
              </w:rPr>
            </w:pPr>
          </w:p>
          <w:p w14:paraId="0266BE8D">
            <w:pPr>
              <w:shd w:val="clear"/>
              <w:spacing w:before="91" w:line="231" w:lineRule="auto"/>
              <w:ind w:left="252" w:right="247" w:firstLine="6"/>
              <w:rPr>
                <w:rFonts w:ascii="黑体" w:hAnsi="黑体" w:eastAsia="黑体" w:cs="黑体"/>
                <w:color w:val="auto"/>
                <w:sz w:val="28"/>
                <w:szCs w:val="28"/>
              </w:rPr>
            </w:pPr>
            <w:r>
              <w:rPr>
                <w:rFonts w:ascii="黑体" w:hAnsi="黑体" w:eastAsia="黑体" w:cs="黑体"/>
                <w:color w:val="auto"/>
                <w:spacing w:val="-7"/>
                <w:sz w:val="28"/>
                <w:szCs w:val="28"/>
              </w:rPr>
              <w:t>预警</w:t>
            </w:r>
            <w:r>
              <w:rPr>
                <w:rFonts w:ascii="黑体" w:hAnsi="黑体" w:eastAsia="黑体" w:cs="黑体"/>
                <w:color w:val="auto"/>
                <w:sz w:val="28"/>
                <w:szCs w:val="28"/>
              </w:rPr>
              <w:t xml:space="preserve"> </w:t>
            </w:r>
            <w:r>
              <w:rPr>
                <w:rFonts w:ascii="黑体" w:hAnsi="黑体" w:eastAsia="黑体" w:cs="黑体"/>
                <w:color w:val="auto"/>
                <w:spacing w:val="-4"/>
                <w:sz w:val="28"/>
                <w:szCs w:val="28"/>
              </w:rPr>
              <w:t>措施</w:t>
            </w:r>
          </w:p>
        </w:tc>
        <w:tc>
          <w:tcPr>
            <w:tcW w:w="2520" w:type="dxa"/>
            <w:vAlign w:val="top"/>
          </w:tcPr>
          <w:p w14:paraId="5256FBE4">
            <w:pPr>
              <w:shd w:val="clear"/>
              <w:spacing w:line="253" w:lineRule="auto"/>
              <w:rPr>
                <w:rFonts w:ascii="Arial"/>
                <w:color w:val="auto"/>
                <w:sz w:val="21"/>
              </w:rPr>
            </w:pPr>
          </w:p>
          <w:p w14:paraId="3736BB0B">
            <w:pPr>
              <w:shd w:val="clear"/>
              <w:spacing w:line="253" w:lineRule="auto"/>
              <w:rPr>
                <w:rFonts w:ascii="Arial"/>
                <w:color w:val="auto"/>
                <w:sz w:val="21"/>
              </w:rPr>
            </w:pPr>
          </w:p>
          <w:p w14:paraId="1FC42444">
            <w:pPr>
              <w:shd w:val="clear"/>
              <w:spacing w:line="253" w:lineRule="auto"/>
              <w:rPr>
                <w:rFonts w:ascii="Arial"/>
                <w:color w:val="auto"/>
                <w:sz w:val="21"/>
              </w:rPr>
            </w:pPr>
          </w:p>
          <w:p w14:paraId="53C30DB1">
            <w:pPr>
              <w:shd w:val="clear"/>
              <w:spacing w:line="253" w:lineRule="auto"/>
              <w:rPr>
                <w:rFonts w:ascii="Arial"/>
                <w:color w:val="auto"/>
                <w:sz w:val="21"/>
              </w:rPr>
            </w:pPr>
          </w:p>
          <w:p w14:paraId="108C35A4">
            <w:pPr>
              <w:shd w:val="clear"/>
              <w:spacing w:line="254" w:lineRule="auto"/>
              <w:rPr>
                <w:rFonts w:ascii="Arial"/>
                <w:color w:val="auto"/>
                <w:sz w:val="21"/>
              </w:rPr>
            </w:pPr>
          </w:p>
          <w:p w14:paraId="7FADD5F7">
            <w:pPr>
              <w:pStyle w:val="19"/>
              <w:shd w:val="clear"/>
              <w:spacing w:before="91" w:line="256" w:lineRule="auto"/>
              <w:ind w:left="15"/>
              <w:rPr>
                <w:color w:val="auto"/>
              </w:rPr>
            </w:pPr>
            <w:r>
              <w:rPr>
                <w:color w:val="auto"/>
                <w:spacing w:val="15"/>
              </w:rPr>
              <w:t>做好值守工作</w:t>
            </w:r>
            <w:r>
              <w:rPr>
                <w:color w:val="auto"/>
                <w:spacing w:val="-61"/>
              </w:rPr>
              <w:t xml:space="preserve"> </w:t>
            </w:r>
            <w:r>
              <w:rPr>
                <w:rFonts w:hint="eastAsia"/>
                <w:color w:val="auto"/>
                <w:spacing w:val="-61"/>
                <w:lang w:eastAsia="zh-CN"/>
              </w:rPr>
              <w:t>，</w:t>
            </w:r>
            <w:r>
              <w:rPr>
                <w:color w:val="auto"/>
                <w:spacing w:val="15"/>
              </w:rPr>
              <w:t>保</w:t>
            </w:r>
            <w:r>
              <w:rPr>
                <w:color w:val="auto"/>
              </w:rPr>
              <w:t xml:space="preserve"> </w:t>
            </w:r>
            <w:r>
              <w:rPr>
                <w:color w:val="auto"/>
                <w:spacing w:val="22"/>
              </w:rPr>
              <w:t>持通信联络畅通</w:t>
            </w:r>
            <w:r>
              <w:rPr>
                <w:color w:val="auto"/>
                <w:spacing w:val="-58"/>
              </w:rPr>
              <w:t xml:space="preserve"> </w:t>
            </w:r>
            <w:r>
              <w:rPr>
                <w:color w:val="auto"/>
                <w:spacing w:val="22"/>
              </w:rPr>
              <w:t>，</w:t>
            </w:r>
            <w:r>
              <w:rPr>
                <w:color w:val="auto"/>
              </w:rPr>
              <w:t xml:space="preserve"> </w:t>
            </w:r>
            <w:r>
              <w:rPr>
                <w:color w:val="auto"/>
                <w:spacing w:val="-10"/>
              </w:rPr>
              <w:t>相</w:t>
            </w:r>
            <w:r>
              <w:rPr>
                <w:color w:val="auto"/>
                <w:spacing w:val="-74"/>
              </w:rPr>
              <w:t xml:space="preserve"> </w:t>
            </w:r>
            <w:r>
              <w:rPr>
                <w:color w:val="auto"/>
                <w:spacing w:val="-10"/>
              </w:rPr>
              <w:t>关</w:t>
            </w:r>
            <w:r>
              <w:rPr>
                <w:color w:val="auto"/>
                <w:spacing w:val="-82"/>
              </w:rPr>
              <w:t xml:space="preserve"> </w:t>
            </w:r>
            <w:r>
              <w:rPr>
                <w:color w:val="auto"/>
                <w:spacing w:val="-10"/>
              </w:rPr>
              <w:t>部</w:t>
            </w:r>
            <w:r>
              <w:rPr>
                <w:color w:val="auto"/>
                <w:spacing w:val="-56"/>
              </w:rPr>
              <w:t xml:space="preserve"> </w:t>
            </w:r>
            <w:r>
              <w:rPr>
                <w:color w:val="auto"/>
                <w:spacing w:val="-10"/>
              </w:rPr>
              <w:t>门密切</w:t>
            </w:r>
            <w:r>
              <w:rPr>
                <w:color w:val="auto"/>
                <w:spacing w:val="-75"/>
              </w:rPr>
              <w:t xml:space="preserve"> </w:t>
            </w:r>
            <w:r>
              <w:rPr>
                <w:color w:val="auto"/>
                <w:spacing w:val="-10"/>
              </w:rPr>
              <w:t>关</w:t>
            </w:r>
            <w:r>
              <w:rPr>
                <w:color w:val="auto"/>
                <w:spacing w:val="-75"/>
              </w:rPr>
              <w:t xml:space="preserve"> </w:t>
            </w:r>
            <w:r>
              <w:rPr>
                <w:color w:val="auto"/>
                <w:spacing w:val="-10"/>
              </w:rPr>
              <w:t>注</w:t>
            </w:r>
            <w:r>
              <w:rPr>
                <w:color w:val="auto"/>
              </w:rPr>
              <w:t xml:space="preserve"> </w:t>
            </w:r>
            <w:r>
              <w:rPr>
                <w:color w:val="auto"/>
                <w:spacing w:val="-3"/>
              </w:rPr>
              <w:t>雨情、水情变化。</w:t>
            </w:r>
          </w:p>
        </w:tc>
        <w:tc>
          <w:tcPr>
            <w:tcW w:w="3213" w:type="dxa"/>
            <w:vAlign w:val="top"/>
          </w:tcPr>
          <w:p w14:paraId="76610142">
            <w:pPr>
              <w:shd w:val="clear"/>
              <w:spacing w:line="267" w:lineRule="auto"/>
              <w:rPr>
                <w:rFonts w:ascii="Arial"/>
                <w:color w:val="auto"/>
                <w:sz w:val="21"/>
              </w:rPr>
            </w:pPr>
          </w:p>
          <w:p w14:paraId="353709A6">
            <w:pPr>
              <w:shd w:val="clear"/>
              <w:spacing w:line="267" w:lineRule="auto"/>
              <w:rPr>
                <w:rFonts w:ascii="Arial"/>
                <w:color w:val="auto"/>
                <w:sz w:val="21"/>
              </w:rPr>
            </w:pPr>
          </w:p>
          <w:p w14:paraId="761FB04A">
            <w:pPr>
              <w:shd w:val="clear"/>
              <w:spacing w:line="267" w:lineRule="auto"/>
              <w:rPr>
                <w:rFonts w:ascii="Arial"/>
                <w:color w:val="auto"/>
                <w:sz w:val="21"/>
              </w:rPr>
            </w:pPr>
          </w:p>
          <w:p w14:paraId="1F4C5E15">
            <w:pPr>
              <w:shd w:val="clear"/>
              <w:spacing w:line="267" w:lineRule="auto"/>
              <w:rPr>
                <w:rFonts w:ascii="Arial"/>
                <w:color w:val="auto"/>
                <w:sz w:val="21"/>
              </w:rPr>
            </w:pPr>
          </w:p>
          <w:p w14:paraId="29A04971">
            <w:pPr>
              <w:pStyle w:val="19"/>
              <w:shd w:val="clear"/>
              <w:spacing w:before="91" w:line="259" w:lineRule="auto"/>
              <w:ind w:left="15"/>
              <w:jc w:val="both"/>
              <w:rPr>
                <w:color w:val="auto"/>
              </w:rPr>
            </w:pPr>
            <w:r>
              <w:rPr>
                <w:color w:val="auto"/>
                <w:spacing w:val="9"/>
              </w:rPr>
              <w:t xml:space="preserve">做好隐患点的巡查、排查 和监测工作，每天巡查监 </w:t>
            </w:r>
            <w:r>
              <w:rPr>
                <w:color w:val="auto"/>
                <w:spacing w:val="17"/>
              </w:rPr>
              <w:t>测不少于2次</w:t>
            </w:r>
            <w:r>
              <w:rPr>
                <w:color w:val="auto"/>
                <w:spacing w:val="-76"/>
              </w:rPr>
              <w:t xml:space="preserve"> </w:t>
            </w:r>
            <w:r>
              <w:rPr>
                <w:color w:val="auto"/>
                <w:spacing w:val="17"/>
              </w:rPr>
              <w:t>，特别是房</w:t>
            </w:r>
            <w:r>
              <w:rPr>
                <w:color w:val="auto"/>
                <w:spacing w:val="9"/>
              </w:rPr>
              <w:t>前屋后边坡要进行重点巡</w:t>
            </w:r>
            <w:r>
              <w:rPr>
                <w:color w:val="auto"/>
                <w:spacing w:val="-9"/>
              </w:rPr>
              <w:t>查。</w:t>
            </w:r>
          </w:p>
        </w:tc>
        <w:tc>
          <w:tcPr>
            <w:tcW w:w="3267" w:type="dxa"/>
            <w:vAlign w:val="top"/>
          </w:tcPr>
          <w:p w14:paraId="48CD11AB">
            <w:pPr>
              <w:shd w:val="clear"/>
              <w:spacing w:line="289" w:lineRule="auto"/>
              <w:rPr>
                <w:rFonts w:ascii="Arial"/>
                <w:color w:val="auto"/>
                <w:sz w:val="21"/>
              </w:rPr>
            </w:pPr>
          </w:p>
          <w:p w14:paraId="662BF696">
            <w:pPr>
              <w:shd w:val="clear"/>
              <w:spacing w:line="289" w:lineRule="auto"/>
              <w:rPr>
                <w:rFonts w:ascii="Arial"/>
                <w:color w:val="auto"/>
                <w:sz w:val="21"/>
              </w:rPr>
            </w:pPr>
          </w:p>
          <w:p w14:paraId="4E9AF77F">
            <w:pPr>
              <w:shd w:val="clear"/>
              <w:spacing w:line="290" w:lineRule="auto"/>
              <w:rPr>
                <w:rFonts w:ascii="Arial"/>
                <w:color w:val="auto"/>
                <w:sz w:val="21"/>
              </w:rPr>
            </w:pPr>
          </w:p>
          <w:p w14:paraId="77760F6C">
            <w:pPr>
              <w:pStyle w:val="19"/>
              <w:shd w:val="clear"/>
              <w:spacing w:before="91" w:line="247" w:lineRule="auto"/>
              <w:ind w:left="18" w:firstLine="12"/>
              <w:rPr>
                <w:color w:val="auto"/>
              </w:rPr>
            </w:pPr>
            <w:r>
              <w:rPr>
                <w:color w:val="auto"/>
                <w:spacing w:val="12"/>
              </w:rPr>
              <w:t>1.暂停灾害隐患点附近的</w:t>
            </w:r>
            <w:r>
              <w:rPr>
                <w:color w:val="auto"/>
                <w:spacing w:val="-4"/>
              </w:rPr>
              <w:t>户外作业；</w:t>
            </w:r>
          </w:p>
          <w:p w14:paraId="083DC1D5">
            <w:pPr>
              <w:pStyle w:val="19"/>
              <w:shd w:val="clear"/>
              <w:spacing w:before="50" w:line="223" w:lineRule="auto"/>
              <w:ind w:left="13"/>
              <w:rPr>
                <w:color w:val="auto"/>
              </w:rPr>
            </w:pPr>
            <w:r>
              <w:rPr>
                <w:color w:val="auto"/>
                <w:spacing w:val="-2"/>
              </w:rPr>
              <w:t>2.严密巡查监测；</w:t>
            </w:r>
          </w:p>
          <w:p w14:paraId="670AD62C">
            <w:pPr>
              <w:pStyle w:val="19"/>
              <w:shd w:val="clear"/>
              <w:spacing w:before="63" w:line="254" w:lineRule="auto"/>
              <w:ind w:left="17" w:hanging="2"/>
              <w:jc w:val="both"/>
              <w:rPr>
                <w:color w:val="auto"/>
              </w:rPr>
            </w:pPr>
            <w:r>
              <w:rPr>
                <w:color w:val="auto"/>
                <w:spacing w:val="-21"/>
              </w:rPr>
              <w:t>3.</w:t>
            </w:r>
            <w:r>
              <w:rPr>
                <w:color w:val="auto"/>
                <w:spacing w:val="-64"/>
              </w:rPr>
              <w:t xml:space="preserve"> </w:t>
            </w:r>
            <w:r>
              <w:rPr>
                <w:color w:val="auto"/>
                <w:spacing w:val="-21"/>
              </w:rPr>
              <w:t>做</w:t>
            </w:r>
            <w:r>
              <w:rPr>
                <w:color w:val="auto"/>
                <w:spacing w:val="-71"/>
              </w:rPr>
              <w:t xml:space="preserve"> </w:t>
            </w:r>
            <w:r>
              <w:rPr>
                <w:color w:val="auto"/>
                <w:spacing w:val="-21"/>
              </w:rPr>
              <w:t>好</w:t>
            </w:r>
            <w:r>
              <w:rPr>
                <w:color w:val="auto"/>
                <w:spacing w:val="-72"/>
              </w:rPr>
              <w:t xml:space="preserve"> </w:t>
            </w:r>
            <w:r>
              <w:rPr>
                <w:color w:val="auto"/>
                <w:spacing w:val="-21"/>
              </w:rPr>
              <w:t>应</w:t>
            </w:r>
            <w:r>
              <w:rPr>
                <w:color w:val="auto"/>
                <w:spacing w:val="-53"/>
              </w:rPr>
              <w:t xml:space="preserve"> </w:t>
            </w:r>
            <w:r>
              <w:rPr>
                <w:color w:val="auto"/>
                <w:spacing w:val="-21"/>
              </w:rPr>
              <w:t>急</w:t>
            </w:r>
            <w:r>
              <w:rPr>
                <w:color w:val="auto"/>
                <w:spacing w:val="-69"/>
              </w:rPr>
              <w:t xml:space="preserve"> </w:t>
            </w:r>
            <w:r>
              <w:rPr>
                <w:color w:val="auto"/>
                <w:spacing w:val="-21"/>
              </w:rPr>
              <w:t>抢</w:t>
            </w:r>
            <w:r>
              <w:rPr>
                <w:color w:val="auto"/>
                <w:spacing w:val="-58"/>
              </w:rPr>
              <w:t xml:space="preserve"> </w:t>
            </w:r>
            <w:r>
              <w:rPr>
                <w:color w:val="auto"/>
                <w:spacing w:val="-21"/>
              </w:rPr>
              <w:t>险</w:t>
            </w:r>
            <w:r>
              <w:rPr>
                <w:color w:val="auto"/>
                <w:spacing w:val="-68"/>
              </w:rPr>
              <w:t xml:space="preserve"> </w:t>
            </w:r>
            <w:r>
              <w:rPr>
                <w:color w:val="auto"/>
                <w:spacing w:val="-21"/>
              </w:rPr>
              <w:t>准</w:t>
            </w:r>
            <w:r>
              <w:rPr>
                <w:color w:val="auto"/>
                <w:spacing w:val="-70"/>
              </w:rPr>
              <w:t xml:space="preserve"> </w:t>
            </w:r>
            <w:r>
              <w:rPr>
                <w:color w:val="auto"/>
                <w:spacing w:val="-21"/>
              </w:rPr>
              <w:t>备</w:t>
            </w:r>
            <w:r>
              <w:rPr>
                <w:color w:val="auto"/>
                <w:spacing w:val="-62"/>
              </w:rPr>
              <w:t xml:space="preserve"> </w:t>
            </w:r>
            <w:r>
              <w:rPr>
                <w:color w:val="auto"/>
                <w:spacing w:val="-21"/>
              </w:rPr>
              <w:t>工</w:t>
            </w:r>
            <w:r>
              <w:rPr>
                <w:color w:val="auto"/>
                <w:spacing w:val="14"/>
              </w:rPr>
              <w:t>作，发现异常采取避让措</w:t>
            </w:r>
            <w:r>
              <w:rPr>
                <w:color w:val="auto"/>
                <w:spacing w:val="-9"/>
              </w:rPr>
              <w:t>施。</w:t>
            </w:r>
          </w:p>
        </w:tc>
        <w:tc>
          <w:tcPr>
            <w:tcW w:w="3393" w:type="dxa"/>
            <w:vAlign w:val="top"/>
          </w:tcPr>
          <w:p w14:paraId="447DCF05">
            <w:pPr>
              <w:shd w:val="clear"/>
              <w:spacing w:line="274" w:lineRule="auto"/>
              <w:rPr>
                <w:rFonts w:ascii="Arial"/>
                <w:color w:val="auto"/>
                <w:sz w:val="21"/>
              </w:rPr>
            </w:pPr>
          </w:p>
          <w:p w14:paraId="582CC52A">
            <w:pPr>
              <w:pStyle w:val="19"/>
              <w:shd w:val="clear"/>
              <w:spacing w:before="91" w:line="256" w:lineRule="auto"/>
              <w:ind w:left="20" w:firstLine="12"/>
              <w:jc w:val="both"/>
              <w:rPr>
                <w:color w:val="auto"/>
              </w:rPr>
            </w:pPr>
            <w:r>
              <w:rPr>
                <w:color w:val="auto"/>
                <w:spacing w:val="-1"/>
              </w:rPr>
              <w:t>1.</w:t>
            </w:r>
            <w:r>
              <w:rPr>
                <w:rFonts w:hint="eastAsia"/>
                <w:color w:val="auto"/>
                <w:lang w:eastAsia="zh-CN"/>
              </w:rPr>
              <w:t>县</w:t>
            </w:r>
            <w:r>
              <w:rPr>
                <w:color w:val="auto"/>
              </w:rPr>
              <w:t>人民政府</w:t>
            </w:r>
            <w:r>
              <w:rPr>
                <w:color w:val="auto"/>
                <w:spacing w:val="-1"/>
              </w:rPr>
              <w:t>根据实际情</w:t>
            </w:r>
            <w:r>
              <w:rPr>
                <w:color w:val="auto"/>
                <w:spacing w:val="4"/>
              </w:rPr>
              <w:t xml:space="preserve"> </w:t>
            </w:r>
            <w:r>
              <w:rPr>
                <w:color w:val="auto"/>
              </w:rPr>
              <w:t>况，将可能发生地质灾害的</w:t>
            </w:r>
            <w:r>
              <w:rPr>
                <w:color w:val="auto"/>
                <w:spacing w:val="6"/>
              </w:rPr>
              <w:t xml:space="preserve"> </w:t>
            </w:r>
            <w:r>
              <w:rPr>
                <w:color w:val="auto"/>
              </w:rPr>
              <w:t>重点隐患点受威胁的人员转</w:t>
            </w:r>
            <w:r>
              <w:rPr>
                <w:color w:val="auto"/>
                <w:spacing w:val="6"/>
              </w:rPr>
              <w:t xml:space="preserve"> </w:t>
            </w:r>
            <w:r>
              <w:rPr>
                <w:color w:val="auto"/>
                <w:spacing w:val="-5"/>
              </w:rPr>
              <w:t>移避让；</w:t>
            </w:r>
          </w:p>
          <w:p w14:paraId="479F29F5">
            <w:pPr>
              <w:pStyle w:val="19"/>
              <w:shd w:val="clear"/>
              <w:spacing w:before="42" w:line="249" w:lineRule="auto"/>
              <w:ind w:left="40" w:hanging="25"/>
              <w:rPr>
                <w:color w:val="auto"/>
              </w:rPr>
            </w:pPr>
            <w:r>
              <w:rPr>
                <w:color w:val="auto"/>
              </w:rPr>
              <w:t>2.做好抢险准备，</w:t>
            </w:r>
            <w:r>
              <w:rPr>
                <w:rFonts w:hint="eastAsia"/>
                <w:color w:val="auto"/>
                <w:lang w:eastAsia="zh-CN"/>
              </w:rPr>
              <w:t>实行</w:t>
            </w:r>
            <w:r>
              <w:rPr>
                <w:color w:val="auto"/>
              </w:rPr>
              <w:t>24小</w:t>
            </w:r>
            <w:r>
              <w:rPr>
                <w:color w:val="auto"/>
                <w:spacing w:val="-5"/>
              </w:rPr>
              <w:t>时不间断巡查监测；</w:t>
            </w:r>
          </w:p>
          <w:p w14:paraId="60B715E4">
            <w:pPr>
              <w:pStyle w:val="19"/>
              <w:shd w:val="clear"/>
              <w:spacing w:before="46" w:line="253" w:lineRule="auto"/>
              <w:ind w:left="21" w:hanging="4"/>
              <w:jc w:val="both"/>
              <w:rPr>
                <w:color w:val="auto"/>
              </w:rPr>
            </w:pPr>
            <w:r>
              <w:rPr>
                <w:color w:val="auto"/>
              </w:rPr>
              <w:t>3.</w:t>
            </w:r>
            <w:r>
              <w:rPr>
                <w:rFonts w:hint="eastAsia"/>
                <w:color w:val="auto"/>
                <w:spacing w:val="-5"/>
                <w:lang w:eastAsia="zh-CN"/>
              </w:rPr>
              <w:t>县</w:t>
            </w:r>
            <w:r>
              <w:rPr>
                <w:color w:val="auto"/>
                <w:spacing w:val="-5"/>
              </w:rPr>
              <w:t>相</w:t>
            </w:r>
            <w:r>
              <w:rPr>
                <w:color w:val="auto"/>
              </w:rPr>
              <w:t>关部门对预警区域预警措施落实情</w:t>
            </w:r>
            <w:r>
              <w:rPr>
                <w:color w:val="auto"/>
                <w:spacing w:val="-3"/>
              </w:rPr>
              <w:t>况进行督促检查。</w:t>
            </w:r>
          </w:p>
        </w:tc>
      </w:tr>
    </w:tbl>
    <w:p w14:paraId="257385CF">
      <w:pPr>
        <w:shd w:val="clear"/>
        <w:rPr>
          <w:rFonts w:ascii="Arial" w:hAnsi="Arial" w:eastAsia="Arial" w:cs="Arial"/>
          <w:color w:val="auto"/>
          <w:sz w:val="21"/>
          <w:szCs w:val="21"/>
        </w:rPr>
        <w:sectPr>
          <w:footerReference r:id="rId10" w:type="default"/>
          <w:pgSz w:w="16840" w:h="11900"/>
          <w:pgMar w:top="1011" w:right="1813" w:bottom="1339" w:left="1567" w:header="0" w:footer="1060" w:gutter="0"/>
          <w:pgNumType w:fmt="numberInDash"/>
          <w:cols w:space="720" w:num="1"/>
        </w:sectPr>
      </w:pPr>
    </w:p>
    <w:p w14:paraId="7D3A0537">
      <w:pPr>
        <w:shd w:val="clear"/>
        <w:spacing w:before="100" w:line="230" w:lineRule="auto"/>
        <w:rPr>
          <w:rFonts w:ascii="黑体" w:hAnsi="黑体" w:eastAsia="黑体" w:cs="黑体"/>
          <w:color w:val="auto"/>
          <w:sz w:val="31"/>
          <w:szCs w:val="31"/>
        </w:rPr>
      </w:pPr>
      <w:r>
        <w:rPr>
          <w:rFonts w:ascii="黑体" w:hAnsi="黑体" w:eastAsia="黑体" w:cs="黑体"/>
          <w:color w:val="auto"/>
          <w:spacing w:val="-4"/>
          <w:sz w:val="31"/>
          <w:szCs w:val="31"/>
        </w:rPr>
        <w:t>附件</w:t>
      </w:r>
      <w:r>
        <w:rPr>
          <w:rFonts w:ascii="黑体" w:hAnsi="黑体" w:eastAsia="黑体" w:cs="黑体"/>
          <w:color w:val="auto"/>
          <w:spacing w:val="-70"/>
          <w:sz w:val="31"/>
          <w:szCs w:val="31"/>
        </w:rPr>
        <w:t xml:space="preserve"> </w:t>
      </w:r>
      <w:r>
        <w:rPr>
          <w:rFonts w:ascii="黑体" w:hAnsi="黑体" w:eastAsia="黑体" w:cs="黑体"/>
          <w:color w:val="auto"/>
          <w:spacing w:val="-4"/>
          <w:sz w:val="31"/>
          <w:szCs w:val="31"/>
        </w:rPr>
        <w:t>4</w:t>
      </w:r>
    </w:p>
    <w:p w14:paraId="2A739FED">
      <w:pPr>
        <w:shd w:val="clear"/>
        <w:spacing w:before="163" w:line="225" w:lineRule="auto"/>
        <w:ind w:left="3274"/>
        <w:rPr>
          <w:rFonts w:hint="eastAsia" w:ascii="黑体" w:hAnsi="黑体" w:eastAsia="黑体" w:cs="黑体"/>
          <w:color w:val="auto"/>
          <w:sz w:val="43"/>
          <w:szCs w:val="43"/>
          <w:lang w:eastAsia="zh-CN"/>
        </w:rPr>
      </w:pPr>
      <w:r>
        <w:rPr>
          <w:rFonts w:ascii="黑体" w:hAnsi="黑体" w:eastAsia="黑体" w:cs="黑体"/>
          <w:color w:val="auto"/>
          <w:spacing w:val="16"/>
          <w:sz w:val="43"/>
          <w:szCs w:val="43"/>
        </w:rPr>
        <w:t>地质灾害灾（险）情分级及对应响应</w:t>
      </w:r>
      <w:r>
        <w:rPr>
          <w:rFonts w:hint="eastAsia" w:ascii="黑体" w:hAnsi="黑体" w:eastAsia="黑体" w:cs="黑体"/>
          <w:color w:val="auto"/>
          <w:spacing w:val="16"/>
          <w:sz w:val="43"/>
          <w:szCs w:val="43"/>
          <w:lang w:eastAsia="zh-CN"/>
        </w:rPr>
        <w:t>等级</w:t>
      </w:r>
    </w:p>
    <w:p w14:paraId="10DF8738">
      <w:pPr>
        <w:shd w:val="clear"/>
        <w:spacing w:line="52" w:lineRule="exact"/>
        <w:rPr>
          <w:color w:val="auto"/>
        </w:rPr>
      </w:pPr>
    </w:p>
    <w:tbl>
      <w:tblPr>
        <w:tblStyle w:val="18"/>
        <w:tblW w:w="14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3059"/>
        <w:gridCol w:w="3359"/>
        <w:gridCol w:w="3538"/>
        <w:gridCol w:w="3223"/>
      </w:tblGrid>
      <w:tr w14:paraId="0A94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134" w:type="dxa"/>
            <w:vAlign w:val="top"/>
          </w:tcPr>
          <w:p w14:paraId="18A979C6">
            <w:pPr>
              <w:shd w:val="clear"/>
              <w:spacing w:before="258" w:line="216" w:lineRule="auto"/>
              <w:ind w:left="217" w:right="46" w:hanging="129"/>
              <w:rPr>
                <w:rFonts w:ascii="黑体" w:hAnsi="黑体" w:eastAsia="黑体" w:cs="黑体"/>
                <w:color w:val="auto"/>
                <w:sz w:val="28"/>
                <w:szCs w:val="28"/>
              </w:rPr>
            </w:pPr>
            <w:r>
              <w:rPr>
                <w:rFonts w:ascii="黑体" w:hAnsi="黑体" w:eastAsia="黑体" w:cs="黑体"/>
                <w:color w:val="auto"/>
                <w:spacing w:val="-32"/>
                <w:sz w:val="28"/>
                <w:szCs w:val="28"/>
              </w:rPr>
              <w:t>灾（险）</w:t>
            </w:r>
            <w:r>
              <w:rPr>
                <w:rFonts w:ascii="黑体" w:hAnsi="黑体" w:eastAsia="黑体" w:cs="黑体"/>
                <w:color w:val="auto"/>
                <w:spacing w:val="1"/>
                <w:sz w:val="28"/>
                <w:szCs w:val="28"/>
              </w:rPr>
              <w:t xml:space="preserve"> </w:t>
            </w:r>
            <w:r>
              <w:rPr>
                <w:rFonts w:ascii="黑体" w:hAnsi="黑体" w:eastAsia="黑体" w:cs="黑体"/>
                <w:color w:val="auto"/>
                <w:spacing w:val="-8"/>
                <w:sz w:val="28"/>
                <w:szCs w:val="28"/>
              </w:rPr>
              <w:t>情分级</w:t>
            </w:r>
          </w:p>
        </w:tc>
        <w:tc>
          <w:tcPr>
            <w:tcW w:w="3059" w:type="dxa"/>
            <w:vAlign w:val="top"/>
          </w:tcPr>
          <w:p w14:paraId="72E4F4B7">
            <w:pPr>
              <w:shd w:val="clear"/>
              <w:spacing w:line="259" w:lineRule="auto"/>
              <w:rPr>
                <w:rFonts w:ascii="Arial"/>
                <w:color w:val="auto"/>
                <w:sz w:val="21"/>
              </w:rPr>
            </w:pPr>
          </w:p>
          <w:p w14:paraId="1AB43598">
            <w:pPr>
              <w:shd w:val="clear"/>
              <w:spacing w:before="91" w:line="224" w:lineRule="auto"/>
              <w:ind w:left="1276"/>
              <w:rPr>
                <w:rFonts w:ascii="黑体" w:hAnsi="黑体" w:eastAsia="黑体" w:cs="黑体"/>
                <w:color w:val="auto"/>
                <w:sz w:val="28"/>
                <w:szCs w:val="28"/>
              </w:rPr>
            </w:pPr>
            <w:r>
              <w:rPr>
                <w:rFonts w:ascii="黑体" w:hAnsi="黑体" w:eastAsia="黑体" w:cs="黑体"/>
                <w:color w:val="auto"/>
                <w:spacing w:val="-11"/>
                <w:sz w:val="28"/>
                <w:szCs w:val="28"/>
              </w:rPr>
              <w:t>小型</w:t>
            </w:r>
          </w:p>
        </w:tc>
        <w:tc>
          <w:tcPr>
            <w:tcW w:w="3359" w:type="dxa"/>
            <w:vAlign w:val="top"/>
          </w:tcPr>
          <w:p w14:paraId="0CFBECF3">
            <w:pPr>
              <w:shd w:val="clear"/>
              <w:spacing w:line="259" w:lineRule="auto"/>
              <w:rPr>
                <w:rFonts w:ascii="Arial"/>
                <w:color w:val="auto"/>
                <w:sz w:val="21"/>
              </w:rPr>
            </w:pPr>
          </w:p>
          <w:p w14:paraId="73C18A59">
            <w:pPr>
              <w:shd w:val="clear"/>
              <w:spacing w:before="91" w:line="224" w:lineRule="auto"/>
              <w:ind w:left="1444"/>
              <w:rPr>
                <w:rFonts w:ascii="黑体" w:hAnsi="黑体" w:eastAsia="黑体" w:cs="黑体"/>
                <w:color w:val="auto"/>
                <w:sz w:val="28"/>
                <w:szCs w:val="28"/>
              </w:rPr>
            </w:pPr>
            <w:r>
              <w:rPr>
                <w:rFonts w:ascii="黑体" w:hAnsi="黑体" w:eastAsia="黑体" w:cs="黑体"/>
                <w:color w:val="auto"/>
                <w:spacing w:val="-16"/>
                <w:sz w:val="28"/>
                <w:szCs w:val="28"/>
              </w:rPr>
              <w:t>中型</w:t>
            </w:r>
          </w:p>
        </w:tc>
        <w:tc>
          <w:tcPr>
            <w:tcW w:w="3538" w:type="dxa"/>
            <w:vAlign w:val="top"/>
          </w:tcPr>
          <w:p w14:paraId="64FB8F6C">
            <w:pPr>
              <w:shd w:val="clear"/>
              <w:spacing w:line="258" w:lineRule="auto"/>
              <w:rPr>
                <w:rFonts w:ascii="Arial"/>
                <w:color w:val="auto"/>
                <w:sz w:val="21"/>
              </w:rPr>
            </w:pPr>
          </w:p>
          <w:p w14:paraId="114897EA">
            <w:pPr>
              <w:shd w:val="clear"/>
              <w:spacing w:before="91" w:line="225" w:lineRule="auto"/>
              <w:ind w:left="1501"/>
              <w:rPr>
                <w:rFonts w:ascii="黑体" w:hAnsi="黑体" w:eastAsia="黑体" w:cs="黑体"/>
                <w:color w:val="auto"/>
                <w:sz w:val="28"/>
                <w:szCs w:val="28"/>
              </w:rPr>
            </w:pPr>
            <w:r>
              <w:rPr>
                <w:rFonts w:ascii="黑体" w:hAnsi="黑体" w:eastAsia="黑体" w:cs="黑体"/>
                <w:color w:val="auto"/>
                <w:spacing w:val="-5"/>
                <w:sz w:val="28"/>
                <w:szCs w:val="28"/>
              </w:rPr>
              <w:t>大型</w:t>
            </w:r>
          </w:p>
        </w:tc>
        <w:tc>
          <w:tcPr>
            <w:tcW w:w="3223" w:type="dxa"/>
            <w:vAlign w:val="top"/>
          </w:tcPr>
          <w:p w14:paraId="4522A40D">
            <w:pPr>
              <w:shd w:val="clear"/>
              <w:spacing w:line="258" w:lineRule="auto"/>
              <w:rPr>
                <w:rFonts w:ascii="Arial"/>
                <w:color w:val="auto"/>
                <w:sz w:val="21"/>
              </w:rPr>
            </w:pPr>
          </w:p>
          <w:p w14:paraId="4EAE5C3A">
            <w:pPr>
              <w:shd w:val="clear"/>
              <w:spacing w:before="91" w:line="222" w:lineRule="auto"/>
              <w:ind w:left="1203"/>
              <w:rPr>
                <w:rFonts w:ascii="黑体" w:hAnsi="黑体" w:eastAsia="黑体" w:cs="黑体"/>
                <w:color w:val="auto"/>
                <w:sz w:val="28"/>
                <w:szCs w:val="28"/>
              </w:rPr>
            </w:pPr>
            <w:r>
              <w:rPr>
                <w:rFonts w:ascii="黑体" w:hAnsi="黑体" w:eastAsia="黑体" w:cs="黑体"/>
                <w:color w:val="auto"/>
                <w:spacing w:val="-5"/>
                <w:sz w:val="28"/>
                <w:szCs w:val="28"/>
              </w:rPr>
              <w:t>特大型</w:t>
            </w:r>
          </w:p>
        </w:tc>
      </w:tr>
      <w:tr w14:paraId="4D96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134" w:type="dxa"/>
            <w:vAlign w:val="top"/>
          </w:tcPr>
          <w:p w14:paraId="4406C4C4">
            <w:pPr>
              <w:shd w:val="clear"/>
              <w:spacing w:line="261" w:lineRule="auto"/>
              <w:rPr>
                <w:rFonts w:ascii="Arial"/>
                <w:color w:val="auto"/>
                <w:sz w:val="21"/>
              </w:rPr>
            </w:pPr>
          </w:p>
          <w:p w14:paraId="4D86D1B7">
            <w:pPr>
              <w:shd w:val="clear"/>
              <w:spacing w:line="261" w:lineRule="auto"/>
              <w:rPr>
                <w:rFonts w:ascii="Arial"/>
                <w:color w:val="auto"/>
                <w:sz w:val="21"/>
              </w:rPr>
            </w:pPr>
          </w:p>
          <w:p w14:paraId="51FE78F5">
            <w:pPr>
              <w:shd w:val="clear"/>
              <w:spacing w:line="261" w:lineRule="auto"/>
              <w:rPr>
                <w:rFonts w:ascii="Arial"/>
                <w:color w:val="auto"/>
                <w:sz w:val="21"/>
              </w:rPr>
            </w:pPr>
          </w:p>
          <w:p w14:paraId="52AC2756">
            <w:pPr>
              <w:shd w:val="clear"/>
              <w:spacing w:line="261" w:lineRule="auto"/>
              <w:rPr>
                <w:rFonts w:ascii="Arial"/>
                <w:color w:val="auto"/>
                <w:sz w:val="21"/>
              </w:rPr>
            </w:pPr>
          </w:p>
          <w:p w14:paraId="6AAE4C18">
            <w:pPr>
              <w:shd w:val="clear"/>
              <w:spacing w:line="261" w:lineRule="auto"/>
              <w:rPr>
                <w:rFonts w:ascii="Arial"/>
                <w:color w:val="auto"/>
                <w:sz w:val="21"/>
              </w:rPr>
            </w:pPr>
          </w:p>
          <w:p w14:paraId="2183B661">
            <w:pPr>
              <w:shd w:val="clear"/>
              <w:spacing w:line="261" w:lineRule="auto"/>
              <w:rPr>
                <w:rFonts w:ascii="Arial"/>
                <w:color w:val="auto"/>
                <w:sz w:val="21"/>
              </w:rPr>
            </w:pPr>
          </w:p>
          <w:p w14:paraId="14C38C16">
            <w:pPr>
              <w:shd w:val="clear"/>
              <w:spacing w:line="261" w:lineRule="auto"/>
              <w:rPr>
                <w:rFonts w:ascii="Arial"/>
                <w:color w:val="auto"/>
                <w:sz w:val="21"/>
              </w:rPr>
            </w:pPr>
          </w:p>
          <w:p w14:paraId="79A1223B">
            <w:pPr>
              <w:shd w:val="clear"/>
              <w:spacing w:before="91" w:line="224" w:lineRule="auto"/>
              <w:ind w:left="284" w:right="288" w:firstLine="12"/>
              <w:rPr>
                <w:rFonts w:ascii="黑体" w:hAnsi="黑体" w:eastAsia="黑体" w:cs="黑体"/>
                <w:color w:val="auto"/>
                <w:sz w:val="28"/>
                <w:szCs w:val="28"/>
              </w:rPr>
            </w:pPr>
            <w:r>
              <w:rPr>
                <w:rFonts w:ascii="黑体" w:hAnsi="黑体" w:eastAsia="黑体" w:cs="黑体"/>
                <w:color w:val="auto"/>
                <w:spacing w:val="-8"/>
                <w:sz w:val="28"/>
                <w:szCs w:val="28"/>
              </w:rPr>
              <w:t>分级</w:t>
            </w:r>
            <w:r>
              <w:rPr>
                <w:rFonts w:ascii="黑体" w:hAnsi="黑体" w:eastAsia="黑体" w:cs="黑体"/>
                <w:color w:val="auto"/>
                <w:sz w:val="28"/>
                <w:szCs w:val="28"/>
              </w:rPr>
              <w:t xml:space="preserve"> </w:t>
            </w:r>
            <w:r>
              <w:rPr>
                <w:rFonts w:ascii="黑体" w:hAnsi="黑体" w:eastAsia="黑体" w:cs="黑体"/>
                <w:color w:val="auto"/>
                <w:spacing w:val="-2"/>
                <w:sz w:val="28"/>
                <w:szCs w:val="28"/>
              </w:rPr>
              <w:t>标准</w:t>
            </w:r>
          </w:p>
        </w:tc>
        <w:tc>
          <w:tcPr>
            <w:tcW w:w="3059" w:type="dxa"/>
            <w:vAlign w:val="top"/>
          </w:tcPr>
          <w:p w14:paraId="4969C2CC">
            <w:pPr>
              <w:shd w:val="clear"/>
              <w:spacing w:line="315" w:lineRule="auto"/>
              <w:rPr>
                <w:rFonts w:ascii="Arial"/>
                <w:color w:val="auto"/>
                <w:sz w:val="18"/>
                <w:szCs w:val="21"/>
              </w:rPr>
            </w:pPr>
          </w:p>
          <w:p w14:paraId="714FD284">
            <w:pPr>
              <w:shd w:val="clear"/>
              <w:spacing w:line="316" w:lineRule="auto"/>
              <w:rPr>
                <w:rFonts w:ascii="Arial"/>
                <w:color w:val="auto"/>
                <w:sz w:val="18"/>
                <w:szCs w:val="21"/>
              </w:rPr>
            </w:pPr>
          </w:p>
          <w:p w14:paraId="2FFE6253">
            <w:pPr>
              <w:pStyle w:val="19"/>
              <w:shd w:val="clear"/>
              <w:spacing w:before="91" w:line="260" w:lineRule="auto"/>
              <w:ind w:left="12" w:right="100" w:firstLine="31"/>
              <w:jc w:val="both"/>
              <w:rPr>
                <w:color w:val="auto"/>
                <w:sz w:val="22"/>
                <w:szCs w:val="22"/>
              </w:rPr>
            </w:pPr>
            <w:r>
              <w:rPr>
                <w:color w:val="auto"/>
                <w:spacing w:val="10"/>
                <w:sz w:val="22"/>
                <w:szCs w:val="22"/>
              </w:rPr>
              <w:t>出现受灾害威胁，需避</w:t>
            </w:r>
            <w:r>
              <w:rPr>
                <w:color w:val="auto"/>
                <w:spacing w:val="8"/>
                <w:sz w:val="22"/>
                <w:szCs w:val="22"/>
              </w:rPr>
              <w:t xml:space="preserve"> </w:t>
            </w:r>
            <w:r>
              <w:rPr>
                <w:color w:val="auto"/>
                <w:spacing w:val="25"/>
                <w:sz w:val="22"/>
                <w:szCs w:val="22"/>
              </w:rPr>
              <w:t>险转移人数在100人以</w:t>
            </w:r>
            <w:r>
              <w:rPr>
                <w:color w:val="auto"/>
                <w:sz w:val="22"/>
                <w:szCs w:val="22"/>
              </w:rPr>
              <w:t xml:space="preserve">下，或潜在经济损失500 </w:t>
            </w:r>
            <w:r>
              <w:rPr>
                <w:color w:val="auto"/>
                <w:spacing w:val="14"/>
                <w:sz w:val="22"/>
                <w:szCs w:val="22"/>
              </w:rPr>
              <w:t>万元以下的地质灾害险</w:t>
            </w:r>
            <w:r>
              <w:rPr>
                <w:color w:val="auto"/>
                <w:sz w:val="22"/>
                <w:szCs w:val="22"/>
              </w:rPr>
              <w:t xml:space="preserve"> </w:t>
            </w:r>
            <w:r>
              <w:rPr>
                <w:color w:val="auto"/>
                <w:spacing w:val="12"/>
                <w:sz w:val="22"/>
                <w:szCs w:val="22"/>
              </w:rPr>
              <w:t>情</w:t>
            </w:r>
            <w:r>
              <w:rPr>
                <w:color w:val="auto"/>
                <w:spacing w:val="-45"/>
                <w:sz w:val="22"/>
                <w:szCs w:val="22"/>
              </w:rPr>
              <w:t xml:space="preserve"> </w:t>
            </w:r>
            <w:r>
              <w:rPr>
                <w:color w:val="auto"/>
                <w:spacing w:val="12"/>
                <w:sz w:val="22"/>
                <w:szCs w:val="22"/>
              </w:rPr>
              <w:t>；</w:t>
            </w:r>
            <w:r>
              <w:rPr>
                <w:color w:val="auto"/>
                <w:spacing w:val="-37"/>
                <w:sz w:val="22"/>
                <w:szCs w:val="22"/>
              </w:rPr>
              <w:t xml:space="preserve"> </w:t>
            </w:r>
            <w:r>
              <w:rPr>
                <w:color w:val="auto"/>
                <w:spacing w:val="12"/>
                <w:sz w:val="22"/>
                <w:szCs w:val="22"/>
              </w:rPr>
              <w:t>因灾死亡（</w:t>
            </w:r>
            <w:r>
              <w:rPr>
                <w:color w:val="auto"/>
                <w:spacing w:val="-26"/>
                <w:sz w:val="22"/>
                <w:szCs w:val="22"/>
              </w:rPr>
              <w:t xml:space="preserve"> </w:t>
            </w:r>
            <w:r>
              <w:rPr>
                <w:color w:val="auto"/>
                <w:spacing w:val="12"/>
                <w:sz w:val="22"/>
                <w:szCs w:val="22"/>
              </w:rPr>
              <w:t>含失</w:t>
            </w:r>
            <w:r>
              <w:rPr>
                <w:color w:val="auto"/>
                <w:spacing w:val="-1"/>
                <w:sz w:val="22"/>
                <w:szCs w:val="22"/>
              </w:rPr>
              <w:t>联）3人以下，或因灾造</w:t>
            </w:r>
            <w:r>
              <w:rPr>
                <w:color w:val="auto"/>
                <w:spacing w:val="9"/>
                <w:sz w:val="22"/>
                <w:szCs w:val="22"/>
              </w:rPr>
              <w:t xml:space="preserve"> </w:t>
            </w:r>
            <w:r>
              <w:rPr>
                <w:color w:val="auto"/>
                <w:spacing w:val="-1"/>
                <w:sz w:val="22"/>
                <w:szCs w:val="22"/>
              </w:rPr>
              <w:t>成直接经济损失100万元</w:t>
            </w:r>
            <w:r>
              <w:rPr>
                <w:color w:val="auto"/>
                <w:spacing w:val="-2"/>
                <w:sz w:val="22"/>
                <w:szCs w:val="22"/>
              </w:rPr>
              <w:t>以下的地质灾害灾情。</w:t>
            </w:r>
          </w:p>
        </w:tc>
        <w:tc>
          <w:tcPr>
            <w:tcW w:w="3359" w:type="dxa"/>
            <w:vAlign w:val="top"/>
          </w:tcPr>
          <w:p w14:paraId="04DB1457">
            <w:pPr>
              <w:shd w:val="clear"/>
              <w:spacing w:line="437" w:lineRule="auto"/>
              <w:rPr>
                <w:rFonts w:ascii="Arial"/>
                <w:color w:val="auto"/>
                <w:sz w:val="18"/>
                <w:szCs w:val="21"/>
              </w:rPr>
            </w:pPr>
          </w:p>
          <w:p w14:paraId="791163CB">
            <w:pPr>
              <w:pStyle w:val="19"/>
              <w:shd w:val="clear"/>
              <w:spacing w:before="91" w:line="260" w:lineRule="auto"/>
              <w:ind w:left="10" w:right="129" w:firstLine="35"/>
              <w:jc w:val="both"/>
              <w:rPr>
                <w:color w:val="auto"/>
                <w:sz w:val="22"/>
                <w:szCs w:val="22"/>
              </w:rPr>
            </w:pPr>
            <w:r>
              <w:rPr>
                <w:color w:val="auto"/>
                <w:spacing w:val="8"/>
                <w:sz w:val="22"/>
                <w:szCs w:val="22"/>
              </w:rPr>
              <w:t>出现受灾害威胁，需避险</w:t>
            </w:r>
            <w:r>
              <w:rPr>
                <w:color w:val="auto"/>
                <w:spacing w:val="9"/>
                <w:sz w:val="22"/>
                <w:szCs w:val="22"/>
              </w:rPr>
              <w:t xml:space="preserve"> 转移人数在100人以上500</w:t>
            </w:r>
            <w:r>
              <w:rPr>
                <w:color w:val="auto"/>
                <w:spacing w:val="-1"/>
                <w:sz w:val="22"/>
                <w:szCs w:val="22"/>
              </w:rPr>
              <w:t>人以下，或潜在经济损失5</w:t>
            </w:r>
            <w:r>
              <w:rPr>
                <w:color w:val="auto"/>
                <w:spacing w:val="9"/>
                <w:sz w:val="22"/>
                <w:szCs w:val="22"/>
              </w:rPr>
              <w:t>00万元以上5000万元以下</w:t>
            </w:r>
            <w:r>
              <w:rPr>
                <w:color w:val="auto"/>
                <w:spacing w:val="6"/>
                <w:sz w:val="22"/>
                <w:szCs w:val="22"/>
              </w:rPr>
              <w:t>的地质灾害险情；</w:t>
            </w:r>
            <w:r>
              <w:rPr>
                <w:color w:val="auto"/>
                <w:spacing w:val="-74"/>
                <w:sz w:val="22"/>
                <w:szCs w:val="22"/>
              </w:rPr>
              <w:t xml:space="preserve"> </w:t>
            </w:r>
            <w:r>
              <w:rPr>
                <w:color w:val="auto"/>
                <w:spacing w:val="6"/>
                <w:sz w:val="22"/>
                <w:szCs w:val="22"/>
              </w:rPr>
              <w:t>因灾死</w:t>
            </w:r>
            <w:r>
              <w:rPr>
                <w:color w:val="auto"/>
                <w:spacing w:val="-1"/>
                <w:sz w:val="22"/>
                <w:szCs w:val="22"/>
              </w:rPr>
              <w:t>亡（含失联）3人以上10人</w:t>
            </w:r>
            <w:r>
              <w:rPr>
                <w:color w:val="auto"/>
                <w:spacing w:val="12"/>
                <w:sz w:val="22"/>
                <w:szCs w:val="22"/>
              </w:rPr>
              <w:t>以下，或因灾造成直接经</w:t>
            </w:r>
            <w:r>
              <w:rPr>
                <w:color w:val="auto"/>
                <w:sz w:val="22"/>
                <w:szCs w:val="22"/>
              </w:rPr>
              <w:t xml:space="preserve"> </w:t>
            </w:r>
            <w:r>
              <w:rPr>
                <w:color w:val="auto"/>
                <w:spacing w:val="9"/>
                <w:sz w:val="22"/>
                <w:szCs w:val="22"/>
              </w:rPr>
              <w:t>济损失100万元以上500万</w:t>
            </w:r>
            <w:r>
              <w:rPr>
                <w:color w:val="auto"/>
                <w:spacing w:val="-2"/>
                <w:sz w:val="22"/>
                <w:szCs w:val="22"/>
              </w:rPr>
              <w:t>元以下的地质灾害灾情。</w:t>
            </w:r>
          </w:p>
        </w:tc>
        <w:tc>
          <w:tcPr>
            <w:tcW w:w="3538" w:type="dxa"/>
            <w:vAlign w:val="top"/>
          </w:tcPr>
          <w:p w14:paraId="69BCF038">
            <w:pPr>
              <w:shd w:val="clear"/>
              <w:spacing w:line="437" w:lineRule="auto"/>
              <w:rPr>
                <w:rFonts w:ascii="Arial"/>
                <w:color w:val="auto"/>
                <w:sz w:val="18"/>
                <w:szCs w:val="21"/>
              </w:rPr>
            </w:pPr>
          </w:p>
          <w:p w14:paraId="4BE6DD84">
            <w:pPr>
              <w:pStyle w:val="19"/>
              <w:shd w:val="clear"/>
              <w:spacing w:before="91" w:line="260" w:lineRule="auto"/>
              <w:ind w:left="14" w:right="125" w:firstLine="31"/>
              <w:jc w:val="both"/>
              <w:rPr>
                <w:color w:val="auto"/>
                <w:sz w:val="22"/>
                <w:szCs w:val="22"/>
              </w:rPr>
            </w:pPr>
            <w:r>
              <w:rPr>
                <w:color w:val="auto"/>
                <w:spacing w:val="-1"/>
                <w:sz w:val="22"/>
                <w:szCs w:val="22"/>
              </w:rPr>
              <w:t>出现受灾害威胁，需避险转</w:t>
            </w:r>
            <w:r>
              <w:rPr>
                <w:color w:val="auto"/>
                <w:spacing w:val="9"/>
                <w:sz w:val="22"/>
                <w:szCs w:val="22"/>
              </w:rPr>
              <w:t xml:space="preserve"> </w:t>
            </w:r>
            <w:r>
              <w:rPr>
                <w:color w:val="auto"/>
                <w:spacing w:val="11"/>
                <w:sz w:val="22"/>
                <w:szCs w:val="22"/>
              </w:rPr>
              <w:t>移人数在500人以上1000人</w:t>
            </w:r>
            <w:r>
              <w:rPr>
                <w:color w:val="auto"/>
                <w:spacing w:val="2"/>
                <w:sz w:val="22"/>
                <w:szCs w:val="22"/>
              </w:rPr>
              <w:t>以下，或潜在经济损失5000</w:t>
            </w:r>
            <w:r>
              <w:rPr>
                <w:color w:val="auto"/>
                <w:sz w:val="22"/>
                <w:szCs w:val="22"/>
              </w:rPr>
              <w:t xml:space="preserve"> </w:t>
            </w:r>
            <w:r>
              <w:rPr>
                <w:color w:val="auto"/>
                <w:spacing w:val="14"/>
                <w:sz w:val="22"/>
                <w:szCs w:val="22"/>
              </w:rPr>
              <w:t>万元以上</w:t>
            </w:r>
            <w:r>
              <w:rPr>
                <w:rFonts w:hint="eastAsia"/>
                <w:color w:val="auto"/>
                <w:spacing w:val="14"/>
                <w:sz w:val="22"/>
                <w:szCs w:val="22"/>
                <w:lang w:val="en-US" w:eastAsia="zh-CN"/>
              </w:rPr>
              <w:t>1</w:t>
            </w:r>
            <w:r>
              <w:rPr>
                <w:color w:val="auto"/>
                <w:spacing w:val="14"/>
                <w:sz w:val="22"/>
                <w:szCs w:val="22"/>
              </w:rPr>
              <w:t>亿元以下的地质</w:t>
            </w:r>
            <w:r>
              <w:rPr>
                <w:color w:val="auto"/>
                <w:spacing w:val="1"/>
                <w:sz w:val="22"/>
                <w:szCs w:val="22"/>
              </w:rPr>
              <w:t xml:space="preserve"> </w:t>
            </w:r>
            <w:r>
              <w:rPr>
                <w:color w:val="auto"/>
                <w:spacing w:val="2"/>
                <w:sz w:val="22"/>
                <w:szCs w:val="22"/>
              </w:rPr>
              <w:t>灾害险情；因灾死亡（含失联）10人以上30人以下，或</w:t>
            </w:r>
            <w:r>
              <w:rPr>
                <w:color w:val="auto"/>
                <w:spacing w:val="3"/>
                <w:sz w:val="22"/>
                <w:szCs w:val="22"/>
              </w:rPr>
              <w:t xml:space="preserve"> </w:t>
            </w:r>
            <w:r>
              <w:rPr>
                <w:color w:val="auto"/>
                <w:spacing w:val="12"/>
                <w:sz w:val="22"/>
                <w:szCs w:val="22"/>
              </w:rPr>
              <w:t>因灾造成直接经济损失500</w:t>
            </w:r>
            <w:r>
              <w:rPr>
                <w:color w:val="auto"/>
                <w:spacing w:val="9"/>
                <w:sz w:val="22"/>
                <w:szCs w:val="22"/>
              </w:rPr>
              <w:t xml:space="preserve"> </w:t>
            </w:r>
            <w:r>
              <w:rPr>
                <w:color w:val="auto"/>
                <w:spacing w:val="2"/>
                <w:sz w:val="22"/>
                <w:szCs w:val="22"/>
              </w:rPr>
              <w:t>万元以上1000万元以下的地</w:t>
            </w:r>
            <w:r>
              <w:rPr>
                <w:color w:val="auto"/>
                <w:spacing w:val="-3"/>
                <w:sz w:val="22"/>
                <w:szCs w:val="22"/>
              </w:rPr>
              <w:t>质灾害灾情。</w:t>
            </w:r>
          </w:p>
        </w:tc>
        <w:tc>
          <w:tcPr>
            <w:tcW w:w="3223" w:type="dxa"/>
            <w:vAlign w:val="top"/>
          </w:tcPr>
          <w:p w14:paraId="3945EE59">
            <w:pPr>
              <w:shd w:val="clear"/>
              <w:spacing w:line="315" w:lineRule="auto"/>
              <w:rPr>
                <w:rFonts w:ascii="Arial"/>
                <w:color w:val="auto"/>
                <w:sz w:val="18"/>
                <w:szCs w:val="21"/>
              </w:rPr>
            </w:pPr>
          </w:p>
          <w:p w14:paraId="4ACCE711">
            <w:pPr>
              <w:shd w:val="clear"/>
              <w:spacing w:line="316" w:lineRule="auto"/>
              <w:rPr>
                <w:rFonts w:ascii="Arial"/>
                <w:color w:val="auto"/>
                <w:sz w:val="18"/>
                <w:szCs w:val="21"/>
              </w:rPr>
            </w:pPr>
          </w:p>
          <w:p w14:paraId="52674CA2">
            <w:pPr>
              <w:pStyle w:val="19"/>
              <w:shd w:val="clear"/>
              <w:spacing w:before="91" w:line="260" w:lineRule="auto"/>
              <w:ind w:left="19" w:right="132" w:firstLine="28"/>
              <w:rPr>
                <w:color w:val="auto"/>
                <w:sz w:val="22"/>
                <w:szCs w:val="22"/>
              </w:rPr>
            </w:pPr>
            <w:r>
              <w:rPr>
                <w:color w:val="auto"/>
                <w:spacing w:val="-4"/>
                <w:sz w:val="22"/>
                <w:szCs w:val="22"/>
              </w:rPr>
              <w:t>出现受灾害威胁，需避险</w:t>
            </w:r>
            <w:r>
              <w:rPr>
                <w:color w:val="auto"/>
                <w:sz w:val="22"/>
                <w:szCs w:val="22"/>
              </w:rPr>
              <w:t xml:space="preserve"> </w:t>
            </w:r>
            <w:r>
              <w:rPr>
                <w:color w:val="auto"/>
                <w:spacing w:val="-2"/>
                <w:sz w:val="22"/>
                <w:szCs w:val="22"/>
              </w:rPr>
              <w:t>转移人数在1000人以上，</w:t>
            </w:r>
            <w:r>
              <w:rPr>
                <w:color w:val="auto"/>
                <w:spacing w:val="10"/>
                <w:sz w:val="22"/>
                <w:szCs w:val="22"/>
              </w:rPr>
              <w:t xml:space="preserve"> </w:t>
            </w:r>
            <w:r>
              <w:rPr>
                <w:color w:val="auto"/>
                <w:spacing w:val="11"/>
                <w:sz w:val="22"/>
                <w:szCs w:val="22"/>
              </w:rPr>
              <w:t>或潜在经济损失1亿元以</w:t>
            </w:r>
            <w:r>
              <w:rPr>
                <w:color w:val="auto"/>
                <w:spacing w:val="-2"/>
                <w:sz w:val="22"/>
                <w:szCs w:val="22"/>
              </w:rPr>
              <w:t>上的地质灾害险情；因灾</w:t>
            </w:r>
            <w:r>
              <w:rPr>
                <w:color w:val="auto"/>
                <w:spacing w:val="17"/>
                <w:sz w:val="22"/>
                <w:szCs w:val="22"/>
              </w:rPr>
              <w:t>死亡（含失联）</w:t>
            </w:r>
            <w:r>
              <w:rPr>
                <w:color w:val="auto"/>
                <w:spacing w:val="-63"/>
                <w:sz w:val="22"/>
                <w:szCs w:val="22"/>
              </w:rPr>
              <w:t xml:space="preserve"> </w:t>
            </w:r>
            <w:r>
              <w:rPr>
                <w:color w:val="auto"/>
                <w:spacing w:val="17"/>
                <w:sz w:val="22"/>
                <w:szCs w:val="22"/>
              </w:rPr>
              <w:t>30人以</w:t>
            </w:r>
            <w:r>
              <w:rPr>
                <w:rFonts w:hint="eastAsia"/>
                <w:color w:val="auto"/>
                <w:spacing w:val="17"/>
                <w:sz w:val="22"/>
                <w:szCs w:val="22"/>
                <w:lang w:eastAsia="zh-CN"/>
              </w:rPr>
              <w:t>，</w:t>
            </w:r>
            <w:r>
              <w:rPr>
                <w:color w:val="auto"/>
                <w:spacing w:val="-2"/>
                <w:sz w:val="22"/>
                <w:szCs w:val="22"/>
              </w:rPr>
              <w:t>或因灾造成直接经济损失1000万元以上的地质</w:t>
            </w:r>
            <w:r>
              <w:rPr>
                <w:color w:val="auto"/>
                <w:spacing w:val="-4"/>
                <w:sz w:val="22"/>
                <w:szCs w:val="22"/>
              </w:rPr>
              <w:t>灾害灾情。</w:t>
            </w:r>
          </w:p>
        </w:tc>
      </w:tr>
      <w:tr w14:paraId="037A5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134" w:type="dxa"/>
            <w:vAlign w:val="top"/>
          </w:tcPr>
          <w:p w14:paraId="380FD2A3">
            <w:pPr>
              <w:shd w:val="clear"/>
              <w:spacing w:line="308" w:lineRule="auto"/>
              <w:rPr>
                <w:rFonts w:ascii="Arial"/>
                <w:color w:val="auto"/>
                <w:sz w:val="21"/>
              </w:rPr>
            </w:pPr>
          </w:p>
          <w:p w14:paraId="0ABC3003">
            <w:pPr>
              <w:shd w:val="clear"/>
              <w:spacing w:before="91" w:line="223" w:lineRule="auto"/>
              <w:ind w:left="300" w:right="288" w:hanging="7"/>
              <w:rPr>
                <w:rFonts w:hint="eastAsia" w:ascii="黑体" w:hAnsi="黑体" w:eastAsia="黑体" w:cs="黑体"/>
                <w:color w:val="auto"/>
                <w:sz w:val="28"/>
                <w:szCs w:val="28"/>
                <w:lang w:eastAsia="zh-CN"/>
              </w:rPr>
            </w:pPr>
            <w:r>
              <w:rPr>
                <w:rFonts w:ascii="黑体" w:hAnsi="黑体" w:eastAsia="黑体" w:cs="黑体"/>
                <w:color w:val="auto"/>
                <w:spacing w:val="-11"/>
                <w:sz w:val="28"/>
                <w:szCs w:val="28"/>
              </w:rPr>
              <w:t>响应</w:t>
            </w:r>
            <w:r>
              <w:rPr>
                <w:rFonts w:hint="eastAsia" w:ascii="黑体" w:hAnsi="黑体" w:eastAsia="黑体" w:cs="黑体"/>
                <w:color w:val="auto"/>
                <w:spacing w:val="-11"/>
                <w:sz w:val="28"/>
                <w:szCs w:val="28"/>
                <w:lang w:eastAsia="zh-CN"/>
              </w:rPr>
              <w:t>等级</w:t>
            </w:r>
          </w:p>
        </w:tc>
        <w:tc>
          <w:tcPr>
            <w:tcW w:w="3059" w:type="dxa"/>
            <w:vAlign w:val="top"/>
          </w:tcPr>
          <w:p w14:paraId="09C7E4AB">
            <w:pPr>
              <w:shd w:val="clear"/>
              <w:spacing w:line="251" w:lineRule="auto"/>
              <w:rPr>
                <w:rFonts w:ascii="Arial"/>
                <w:color w:val="auto"/>
                <w:sz w:val="21"/>
              </w:rPr>
            </w:pPr>
          </w:p>
          <w:p w14:paraId="43D7EBD7">
            <w:pPr>
              <w:shd w:val="clear"/>
              <w:spacing w:line="251" w:lineRule="auto"/>
              <w:rPr>
                <w:rFonts w:ascii="Arial"/>
                <w:color w:val="auto"/>
                <w:sz w:val="21"/>
              </w:rPr>
            </w:pPr>
          </w:p>
          <w:p w14:paraId="0241CCCD">
            <w:pPr>
              <w:pStyle w:val="19"/>
              <w:shd w:val="clear"/>
              <w:spacing w:before="91" w:line="224" w:lineRule="auto"/>
              <w:ind w:left="1039"/>
              <w:rPr>
                <w:color w:val="auto"/>
              </w:rPr>
            </w:pPr>
            <w:r>
              <w:rPr>
                <w:color w:val="auto"/>
                <w:spacing w:val="-19"/>
              </w:rPr>
              <w:t>四级响应</w:t>
            </w:r>
          </w:p>
        </w:tc>
        <w:tc>
          <w:tcPr>
            <w:tcW w:w="3359" w:type="dxa"/>
            <w:vAlign w:val="top"/>
          </w:tcPr>
          <w:p w14:paraId="453F9220">
            <w:pPr>
              <w:shd w:val="clear"/>
              <w:spacing w:line="251" w:lineRule="auto"/>
              <w:rPr>
                <w:rFonts w:ascii="Arial"/>
                <w:color w:val="auto"/>
                <w:sz w:val="21"/>
              </w:rPr>
            </w:pPr>
          </w:p>
          <w:p w14:paraId="0B5C9D67">
            <w:pPr>
              <w:shd w:val="clear"/>
              <w:spacing w:line="251" w:lineRule="auto"/>
              <w:rPr>
                <w:rFonts w:ascii="Arial"/>
                <w:color w:val="auto"/>
                <w:sz w:val="21"/>
              </w:rPr>
            </w:pPr>
          </w:p>
          <w:p w14:paraId="573FF002">
            <w:pPr>
              <w:pStyle w:val="19"/>
              <w:shd w:val="clear"/>
              <w:spacing w:before="91" w:line="224" w:lineRule="auto"/>
              <w:ind w:left="1097"/>
              <w:rPr>
                <w:color w:val="auto"/>
              </w:rPr>
            </w:pPr>
            <w:r>
              <w:rPr>
                <w:color w:val="auto"/>
                <w:spacing w:val="-10"/>
              </w:rPr>
              <w:t>三级响应</w:t>
            </w:r>
          </w:p>
        </w:tc>
        <w:tc>
          <w:tcPr>
            <w:tcW w:w="3538" w:type="dxa"/>
            <w:vAlign w:val="top"/>
          </w:tcPr>
          <w:p w14:paraId="0E5E96AF">
            <w:pPr>
              <w:shd w:val="clear"/>
              <w:spacing w:line="251" w:lineRule="auto"/>
              <w:rPr>
                <w:rFonts w:ascii="Arial"/>
                <w:color w:val="auto"/>
                <w:sz w:val="21"/>
              </w:rPr>
            </w:pPr>
          </w:p>
          <w:p w14:paraId="56654A62">
            <w:pPr>
              <w:shd w:val="clear"/>
              <w:spacing w:line="251" w:lineRule="auto"/>
              <w:rPr>
                <w:rFonts w:ascii="Arial"/>
                <w:color w:val="auto"/>
                <w:sz w:val="21"/>
              </w:rPr>
            </w:pPr>
          </w:p>
          <w:p w14:paraId="3DFFC9E9">
            <w:pPr>
              <w:pStyle w:val="19"/>
              <w:shd w:val="clear"/>
              <w:spacing w:before="91" w:line="224" w:lineRule="auto"/>
              <w:ind w:left="1099"/>
              <w:rPr>
                <w:color w:val="auto"/>
              </w:rPr>
            </w:pPr>
            <w:r>
              <w:rPr>
                <w:color w:val="auto"/>
                <w:spacing w:val="-10"/>
              </w:rPr>
              <w:t>二级响应</w:t>
            </w:r>
          </w:p>
        </w:tc>
        <w:tc>
          <w:tcPr>
            <w:tcW w:w="3223" w:type="dxa"/>
            <w:vAlign w:val="top"/>
          </w:tcPr>
          <w:p w14:paraId="0A3DBCE5">
            <w:pPr>
              <w:shd w:val="clear"/>
              <w:spacing w:line="251" w:lineRule="auto"/>
              <w:rPr>
                <w:rFonts w:ascii="Arial"/>
                <w:color w:val="auto"/>
                <w:sz w:val="21"/>
              </w:rPr>
            </w:pPr>
          </w:p>
          <w:p w14:paraId="68AB4302">
            <w:pPr>
              <w:shd w:val="clear"/>
              <w:spacing w:line="251" w:lineRule="auto"/>
              <w:rPr>
                <w:rFonts w:ascii="Arial"/>
                <w:color w:val="auto"/>
                <w:sz w:val="21"/>
              </w:rPr>
            </w:pPr>
          </w:p>
          <w:p w14:paraId="3118462F">
            <w:pPr>
              <w:pStyle w:val="19"/>
              <w:shd w:val="clear"/>
              <w:spacing w:before="91" w:line="224" w:lineRule="auto"/>
              <w:ind w:left="1104"/>
              <w:rPr>
                <w:color w:val="auto"/>
              </w:rPr>
            </w:pPr>
            <w:r>
              <w:rPr>
                <w:color w:val="auto"/>
                <w:spacing w:val="-9"/>
              </w:rPr>
              <w:t>一级响应</w:t>
            </w:r>
          </w:p>
        </w:tc>
      </w:tr>
    </w:tbl>
    <w:p w14:paraId="0BD0BF13">
      <w:pPr>
        <w:pStyle w:val="7"/>
        <w:shd w:val="clear"/>
        <w:spacing w:before="62" w:line="223" w:lineRule="auto"/>
        <w:rPr>
          <w:color w:val="auto"/>
          <w:spacing w:val="-10"/>
          <w:sz w:val="28"/>
          <w:szCs w:val="28"/>
        </w:rPr>
      </w:pPr>
      <w:r>
        <w:rPr>
          <w:color w:val="auto"/>
          <w:spacing w:val="-10"/>
          <w:sz w:val="28"/>
          <w:szCs w:val="28"/>
        </w:rPr>
        <w:t>注：“</w:t>
      </w:r>
      <w:r>
        <w:rPr>
          <w:color w:val="auto"/>
          <w:spacing w:val="-75"/>
          <w:sz w:val="28"/>
          <w:szCs w:val="28"/>
        </w:rPr>
        <w:t xml:space="preserve"> </w:t>
      </w:r>
      <w:r>
        <w:rPr>
          <w:color w:val="auto"/>
          <w:spacing w:val="-10"/>
          <w:sz w:val="28"/>
          <w:szCs w:val="28"/>
        </w:rPr>
        <w:t>以上</w:t>
      </w:r>
      <w:r>
        <w:rPr>
          <w:color w:val="auto"/>
          <w:spacing w:val="34"/>
          <w:sz w:val="28"/>
          <w:szCs w:val="28"/>
        </w:rPr>
        <w:t xml:space="preserve"> </w:t>
      </w:r>
      <w:r>
        <w:rPr>
          <w:color w:val="auto"/>
          <w:spacing w:val="-10"/>
          <w:sz w:val="28"/>
          <w:szCs w:val="28"/>
        </w:rPr>
        <w:t>”包括本数，“</w:t>
      </w:r>
      <w:r>
        <w:rPr>
          <w:color w:val="auto"/>
          <w:spacing w:val="-93"/>
          <w:sz w:val="28"/>
          <w:szCs w:val="28"/>
        </w:rPr>
        <w:t xml:space="preserve"> </w:t>
      </w:r>
      <w:r>
        <w:rPr>
          <w:color w:val="auto"/>
          <w:spacing w:val="-10"/>
          <w:sz w:val="28"/>
          <w:szCs w:val="28"/>
        </w:rPr>
        <w:t>以下</w:t>
      </w:r>
      <w:r>
        <w:rPr>
          <w:color w:val="auto"/>
          <w:spacing w:val="36"/>
          <w:sz w:val="28"/>
          <w:szCs w:val="28"/>
        </w:rPr>
        <w:t xml:space="preserve"> </w:t>
      </w:r>
      <w:r>
        <w:rPr>
          <w:color w:val="auto"/>
          <w:spacing w:val="-10"/>
          <w:sz w:val="28"/>
          <w:szCs w:val="28"/>
        </w:rPr>
        <w:t>”不包括本数</w:t>
      </w:r>
    </w:p>
    <w:p w14:paraId="547A6C0D">
      <w:pPr>
        <w:rPr>
          <w:color w:val="auto"/>
          <w:spacing w:val="-10"/>
          <w:sz w:val="28"/>
          <w:szCs w:val="28"/>
        </w:rPr>
      </w:pPr>
      <w:r>
        <w:rPr>
          <w:color w:val="auto"/>
          <w:spacing w:val="-10"/>
          <w:sz w:val="28"/>
          <w:szCs w:val="28"/>
        </w:rPr>
        <w:br w:type="page"/>
      </w:r>
    </w:p>
    <w:p w14:paraId="37592D1C">
      <w:pPr>
        <w:shd w:val="clear"/>
        <w:spacing w:before="100" w:line="230" w:lineRule="auto"/>
        <w:rPr>
          <w:rFonts w:hint="eastAsia" w:ascii="黑体" w:hAnsi="黑体" w:eastAsia="黑体" w:cs="黑体"/>
          <w:color w:val="auto"/>
          <w:sz w:val="31"/>
          <w:szCs w:val="31"/>
          <w:lang w:eastAsia="zh-CN"/>
        </w:rPr>
      </w:pPr>
      <w:r>
        <w:rPr>
          <w:rFonts w:ascii="黑体" w:hAnsi="黑体" w:eastAsia="黑体" w:cs="黑体"/>
          <w:color w:val="auto"/>
          <w:spacing w:val="-4"/>
          <w:sz w:val="31"/>
          <w:szCs w:val="31"/>
        </w:rPr>
        <w:t>附件</w:t>
      </w:r>
      <w:r>
        <w:rPr>
          <w:rFonts w:ascii="黑体" w:hAnsi="黑体" w:eastAsia="黑体" w:cs="黑体"/>
          <w:color w:val="auto"/>
          <w:spacing w:val="-70"/>
          <w:sz w:val="31"/>
          <w:szCs w:val="31"/>
        </w:rPr>
        <w:t xml:space="preserve"> </w:t>
      </w:r>
      <w:r>
        <w:rPr>
          <w:rFonts w:hint="eastAsia" w:ascii="黑体" w:hAnsi="黑体" w:eastAsia="黑体" w:cs="黑体"/>
          <w:color w:val="auto"/>
          <w:spacing w:val="-4"/>
          <w:sz w:val="31"/>
          <w:szCs w:val="31"/>
          <w:lang w:val="en-US" w:eastAsia="zh-CN"/>
        </w:rPr>
        <w:t>5</w:t>
      </w:r>
    </w:p>
    <w:p w14:paraId="06C89A70">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0"/>
          <w:kern w:val="0"/>
          <w:sz w:val="31"/>
          <w:szCs w:val="31"/>
          <w:lang w:eastAsia="zh-CN"/>
          <w14:textOutline w14:w="5793" w14:cap="sq" w14:cmpd="sng">
            <w14:solidFill>
              <w14:srgbClr w14:val="000000"/>
            </w14:solidFill>
            <w14:prstDash w14:val="solid"/>
            <w14:bevel/>
          </w14:textOutline>
        </w:rPr>
        <w:t>浑源县</w:t>
      </w:r>
      <w:r>
        <w:rPr>
          <w:rFonts w:hint="eastAsia"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t>装备采购清单</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64"/>
        <w:gridCol w:w="1248"/>
        <w:gridCol w:w="732"/>
        <w:gridCol w:w="1387"/>
        <w:gridCol w:w="2814"/>
        <w:gridCol w:w="1373"/>
        <w:gridCol w:w="1067"/>
        <w:gridCol w:w="1255"/>
      </w:tblGrid>
      <w:tr w14:paraId="3679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E7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default"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序号</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C2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所属队伍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17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配发主体</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E7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w:t>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br w:type="textWrapping"/>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目录</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63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装备类别</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A5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装备类型</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B7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台/套数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DF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单价（万元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89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总金额</w:t>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br w:type="textWrapping"/>
            </w: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（万元）</w:t>
            </w:r>
          </w:p>
        </w:tc>
      </w:tr>
      <w:tr w14:paraId="1E6D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A8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68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CF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92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2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83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后勤保障车辆（救援运兵车）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7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3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B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80</w:t>
            </w:r>
          </w:p>
        </w:tc>
      </w:tr>
      <w:tr w14:paraId="5E93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F5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B3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B3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2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F1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DC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应急电源车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1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59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DE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26</w:t>
            </w:r>
          </w:p>
        </w:tc>
      </w:tr>
      <w:tr w14:paraId="3183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0C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11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3B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9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0E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8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应急照明系统</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2F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92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6B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r>
      <w:tr w14:paraId="1E38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E6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55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EC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0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B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综合保障</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76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通信指挥设备（数字集群手持终端）</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B2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B7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B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r>
      <w:tr w14:paraId="092D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9E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C7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1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4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2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72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潜污泵</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8C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10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96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r>
      <w:tr w14:paraId="593F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35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2B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1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63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E5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7A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组合式防洪板</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6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290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79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C1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58</w:t>
            </w:r>
          </w:p>
        </w:tc>
      </w:tr>
      <w:tr w14:paraId="13D3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DF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2A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3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80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3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抗洪抢险</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6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沙袋装袋机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34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1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6E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r>
      <w:tr w14:paraId="238D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C6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C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92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24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48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70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油锯</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91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E5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79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17.5</w:t>
            </w:r>
          </w:p>
        </w:tc>
      </w:tr>
      <w:tr w14:paraId="5C2D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02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7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E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A0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0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F1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高扬程水泵</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6C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5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5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r>
      <w:tr w14:paraId="072A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09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12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D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1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AC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D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消防摩托车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C9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4D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6A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r>
      <w:tr w14:paraId="19A2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08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A5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B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F3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2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54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高压细水雾灭火机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4D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E9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6A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r>
      <w:tr w14:paraId="2292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CE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12</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52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82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B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B9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风力灭火机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14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DE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0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w:t>
            </w:r>
          </w:p>
        </w:tc>
      </w:tr>
      <w:tr w14:paraId="2D73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69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13</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0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F9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6D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EA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82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个人护具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0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5E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9B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r>
      <w:tr w14:paraId="1C56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74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14</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4B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C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FD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00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C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高压喷雾车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FC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C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2C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45</w:t>
            </w:r>
          </w:p>
        </w:tc>
      </w:tr>
      <w:tr w14:paraId="1869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4C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0B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63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2F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乡级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0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森林（草原）火灾扑救</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97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红外热成像仪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FB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E8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E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0.4</w:t>
            </w:r>
          </w:p>
        </w:tc>
      </w:tr>
      <w:tr w14:paraId="32E1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7A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16</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01BAD5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8A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12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B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94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音视频生命探测仪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3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C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1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r>
      <w:tr w14:paraId="1820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71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17</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91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1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58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2B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1C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无人机（搜索、救援、测量）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CB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EA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FD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r>
      <w:tr w14:paraId="4D1B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9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450C2A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21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55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C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68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复合气体探测器</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B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3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r>
      <w:tr w14:paraId="42EC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02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19</w:t>
            </w:r>
          </w:p>
        </w:tc>
        <w:tc>
          <w:tcPr>
            <w:tcW w:w="2364" w:type="dxa"/>
            <w:tcBorders>
              <w:top w:val="single" w:color="000000" w:sz="4" w:space="0"/>
              <w:left w:val="nil"/>
              <w:bottom w:val="single" w:color="000000" w:sz="4" w:space="0"/>
              <w:right w:val="single" w:color="000000" w:sz="4" w:space="0"/>
            </w:tcBorders>
            <w:shd w:val="clear" w:color="auto" w:fill="auto"/>
            <w:vAlign w:val="center"/>
          </w:tcPr>
          <w:p w14:paraId="53DFC4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浑源县综合应急救援队</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50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县级队伍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1B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县级</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15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地震地质灾害救援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B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辅助搜索机器人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BF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E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9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35</w:t>
            </w:r>
          </w:p>
        </w:tc>
      </w:tr>
      <w:tr w14:paraId="4E2C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E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合计：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15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367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DE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5F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427.9</w:t>
            </w:r>
          </w:p>
        </w:tc>
      </w:tr>
    </w:tbl>
    <w:p w14:paraId="46870943">
      <w:pPr>
        <w:rPr>
          <w:rFonts w:hint="eastAsia"/>
          <w:color w:val="auto"/>
          <w:spacing w:val="-10"/>
          <w:sz w:val="28"/>
          <w:szCs w:val="28"/>
          <w:lang w:val="en-US" w:eastAsia="zh-CN"/>
        </w:rPr>
      </w:pPr>
      <w:r>
        <w:rPr>
          <w:rFonts w:hint="eastAsia"/>
          <w:color w:val="auto"/>
          <w:spacing w:val="-10"/>
          <w:sz w:val="28"/>
          <w:szCs w:val="28"/>
          <w:lang w:val="en-US" w:eastAsia="zh-CN"/>
        </w:rPr>
        <w:br w:type="page"/>
      </w:r>
    </w:p>
    <w:p w14:paraId="6B7080FC">
      <w:pPr>
        <w:widowControl/>
        <w:kinsoku w:val="0"/>
        <w:autoSpaceDE w:val="0"/>
        <w:autoSpaceDN w:val="0"/>
        <w:adjustRightInd w:val="0"/>
        <w:snapToGrid w:val="0"/>
        <w:spacing w:before="101" w:line="229" w:lineRule="auto"/>
        <w:ind w:left="59"/>
        <w:jc w:val="left"/>
        <w:textAlignment w:val="baseline"/>
        <w:rPr>
          <w:rFonts w:hint="default"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4"/>
          <w:kern w:val="0"/>
          <w:sz w:val="31"/>
          <w:szCs w:val="31"/>
          <w:lang w:val="en-US" w:eastAsia="zh-CN"/>
          <w14:textOutline w14:w="5793" w14:cap="sq" w14:cmpd="sng">
            <w14:solidFill>
              <w14:srgbClr w14:val="000000"/>
            </w14:solidFill>
            <w14:prstDash w14:val="solid"/>
            <w14:bevel/>
          </w14:textOutline>
        </w:rPr>
        <w:t>附件</w:t>
      </w:r>
      <w:r>
        <w:rPr>
          <w:rFonts w:ascii="仿宋" w:hAnsi="仿宋" w:eastAsia="仿宋" w:cs="仿宋"/>
          <w:snapToGrid w:val="0"/>
          <w:color w:val="000000"/>
          <w:spacing w:val="-13"/>
          <w:kern w:val="0"/>
          <w:sz w:val="31"/>
          <w:szCs w:val="31"/>
        </w:rPr>
        <w:t xml:space="preserve"> </w:t>
      </w:r>
      <w:r>
        <w:rPr>
          <w:rFonts w:hint="eastAsia" w:ascii="仿宋" w:hAnsi="仿宋" w:eastAsia="仿宋" w:cs="仿宋"/>
          <w:snapToGrid w:val="0"/>
          <w:color w:val="000000"/>
          <w:spacing w:val="-13"/>
          <w:kern w:val="0"/>
          <w:sz w:val="31"/>
          <w:szCs w:val="31"/>
          <w:lang w:val="en-US" w:eastAsia="zh-CN"/>
          <w14:textOutline w14:w="5793" w14:cap="sq" w14:cmpd="sng">
            <w14:solidFill>
              <w14:srgbClr w14:val="000000"/>
            </w14:solidFill>
            <w14:prstDash w14:val="solid"/>
            <w14:bevel/>
          </w14:textOutline>
        </w:rPr>
        <w:t>6</w:t>
      </w:r>
    </w:p>
    <w:p w14:paraId="056FBC00">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0"/>
          <w:kern w:val="0"/>
          <w:sz w:val="31"/>
          <w:szCs w:val="31"/>
          <w:lang w:eastAsia="zh-CN"/>
          <w14:textOutline w14:w="5793" w14:cap="sq" w14:cmpd="sng">
            <w14:solidFill>
              <w14:srgbClr w14:val="000000"/>
            </w14:solidFill>
            <w14:prstDash w14:val="solid"/>
            <w14:bevel/>
          </w14:textOutline>
        </w:rPr>
        <w:t>浑源县</w:t>
      </w:r>
      <w:r>
        <w:rPr>
          <w:rFonts w:hint="eastAsia" w:ascii="仿宋" w:hAnsi="仿宋" w:eastAsia="仿宋" w:cs="仿宋"/>
          <w:snapToGrid w:val="0"/>
          <w:color w:val="000000"/>
          <w:spacing w:val="10"/>
          <w:kern w:val="0"/>
          <w:sz w:val="31"/>
          <w:szCs w:val="31"/>
          <w:lang w:val="en-US" w:eastAsia="zh-CN"/>
          <w14:textOutline w14:w="5793" w14:cap="sq" w14:cmpd="sng">
            <w14:solidFill>
              <w14:srgbClr w14:val="000000"/>
            </w14:solidFill>
            <w14:prstDash w14:val="solid"/>
            <w14:bevel/>
          </w14:textOutline>
        </w:rPr>
        <w:t>应急局应急物资库存台账</w:t>
      </w:r>
    </w:p>
    <w:tbl>
      <w:tblPr>
        <w:tblStyle w:val="13"/>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710"/>
        <w:gridCol w:w="3960"/>
        <w:gridCol w:w="1740"/>
        <w:gridCol w:w="1632"/>
        <w:gridCol w:w="1983"/>
      </w:tblGrid>
      <w:tr w14:paraId="3368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18B984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序号</w:t>
            </w:r>
          </w:p>
        </w:tc>
        <w:tc>
          <w:tcPr>
            <w:tcW w:w="1793" w:type="dxa"/>
            <w:vAlign w:val="center"/>
          </w:tcPr>
          <w:p w14:paraId="3071A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品名</w:t>
            </w:r>
          </w:p>
        </w:tc>
        <w:tc>
          <w:tcPr>
            <w:tcW w:w="1710" w:type="dxa"/>
            <w:vAlign w:val="center"/>
          </w:tcPr>
          <w:p w14:paraId="31DB32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库存数量</w:t>
            </w:r>
          </w:p>
        </w:tc>
        <w:tc>
          <w:tcPr>
            <w:tcW w:w="3960" w:type="dxa"/>
            <w:vAlign w:val="center"/>
          </w:tcPr>
          <w:p w14:paraId="334D8C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规格型号</w:t>
            </w:r>
          </w:p>
        </w:tc>
        <w:tc>
          <w:tcPr>
            <w:tcW w:w="1740" w:type="dxa"/>
            <w:vAlign w:val="center"/>
          </w:tcPr>
          <w:p w14:paraId="36AEFE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主要用途</w:t>
            </w:r>
          </w:p>
        </w:tc>
        <w:tc>
          <w:tcPr>
            <w:tcW w:w="1632" w:type="dxa"/>
            <w:vAlign w:val="center"/>
          </w:tcPr>
          <w:p w14:paraId="32397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存放库号</w:t>
            </w:r>
          </w:p>
        </w:tc>
        <w:tc>
          <w:tcPr>
            <w:tcW w:w="1983" w:type="dxa"/>
            <w:vAlign w:val="center"/>
          </w:tcPr>
          <w:p w14:paraId="7530C5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4"/>
                <w:szCs w:val="24"/>
                <w:lang w:val="en-US" w:eastAsia="zh-CN" w:bidi="ar"/>
                <w14:textOutline w14:w="3795" w14:cap="sq" w14:cmpd="sng">
                  <w14:solidFill>
                    <w14:srgbClr w14:val="000000"/>
                  </w14:solidFill>
                  <w14:prstDash w14:val="solid"/>
                  <w14:bevel/>
                </w14:textOutline>
              </w:rPr>
              <w:t>备注</w:t>
            </w:r>
          </w:p>
        </w:tc>
      </w:tr>
      <w:tr w14:paraId="74AE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16E93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793" w:type="dxa"/>
            <w:vAlign w:val="center"/>
          </w:tcPr>
          <w:p w14:paraId="7C723C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大型风力</w:t>
            </w:r>
          </w:p>
          <w:p w14:paraId="595D30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灭火机</w:t>
            </w:r>
          </w:p>
        </w:tc>
        <w:tc>
          <w:tcPr>
            <w:tcW w:w="1710" w:type="dxa"/>
            <w:vAlign w:val="center"/>
          </w:tcPr>
          <w:p w14:paraId="73BAFA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7台</w:t>
            </w:r>
          </w:p>
        </w:tc>
        <w:tc>
          <w:tcPr>
            <w:tcW w:w="3960" w:type="dxa"/>
            <w:vAlign w:val="center"/>
          </w:tcPr>
          <w:p w14:paraId="20C83F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0CA3C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01B78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19AF1A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78B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7F2C6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793" w:type="dxa"/>
            <w:vAlign w:val="center"/>
          </w:tcPr>
          <w:p w14:paraId="495F31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灭火弹</w:t>
            </w:r>
          </w:p>
        </w:tc>
        <w:tc>
          <w:tcPr>
            <w:tcW w:w="1710" w:type="dxa"/>
            <w:vAlign w:val="center"/>
          </w:tcPr>
          <w:p w14:paraId="57BC2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2174个</w:t>
            </w:r>
          </w:p>
        </w:tc>
        <w:tc>
          <w:tcPr>
            <w:tcW w:w="3960" w:type="dxa"/>
            <w:vAlign w:val="center"/>
          </w:tcPr>
          <w:p w14:paraId="328DAD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6D19E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227064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部分南二楼1号，部分永兴源小区</w:t>
            </w:r>
          </w:p>
        </w:tc>
        <w:tc>
          <w:tcPr>
            <w:tcW w:w="1983" w:type="dxa"/>
            <w:vAlign w:val="center"/>
          </w:tcPr>
          <w:p w14:paraId="43C445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603防火期间</w:t>
            </w:r>
          </w:p>
        </w:tc>
      </w:tr>
      <w:tr w14:paraId="29D3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3538F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793" w:type="dxa"/>
            <w:vAlign w:val="center"/>
          </w:tcPr>
          <w:p w14:paraId="5D4E8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雨衣</w:t>
            </w:r>
          </w:p>
        </w:tc>
        <w:tc>
          <w:tcPr>
            <w:tcW w:w="1710" w:type="dxa"/>
            <w:vAlign w:val="center"/>
          </w:tcPr>
          <w:p w14:paraId="4B6552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66件</w:t>
            </w:r>
          </w:p>
        </w:tc>
        <w:tc>
          <w:tcPr>
            <w:tcW w:w="3960" w:type="dxa"/>
            <w:vAlign w:val="center"/>
          </w:tcPr>
          <w:p w14:paraId="6F5C1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分体式双层反光雨衣；</w:t>
            </w:r>
          </w:p>
          <w:p w14:paraId="5410D6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面料：春亚纺，网格内里。</w:t>
            </w:r>
          </w:p>
        </w:tc>
        <w:tc>
          <w:tcPr>
            <w:tcW w:w="1740" w:type="dxa"/>
            <w:vAlign w:val="center"/>
          </w:tcPr>
          <w:p w14:paraId="53528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1E899F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139767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DCB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DC778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793" w:type="dxa"/>
            <w:vAlign w:val="center"/>
          </w:tcPr>
          <w:p w14:paraId="2C4CFB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雨靴</w:t>
            </w:r>
          </w:p>
        </w:tc>
        <w:tc>
          <w:tcPr>
            <w:tcW w:w="1710" w:type="dxa"/>
            <w:vAlign w:val="center"/>
          </w:tcPr>
          <w:p w14:paraId="4C7EEA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70双</w:t>
            </w:r>
          </w:p>
        </w:tc>
        <w:tc>
          <w:tcPr>
            <w:tcW w:w="3960" w:type="dxa"/>
            <w:vAlign w:val="center"/>
          </w:tcPr>
          <w:p w14:paraId="6759F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材质：PVC塑胶，筒高约37cm</w:t>
            </w:r>
          </w:p>
        </w:tc>
        <w:tc>
          <w:tcPr>
            <w:tcW w:w="1740" w:type="dxa"/>
            <w:vAlign w:val="center"/>
          </w:tcPr>
          <w:p w14:paraId="37124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A6FF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797436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041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2" w:type="dxa"/>
            <w:vAlign w:val="center"/>
          </w:tcPr>
          <w:p w14:paraId="1334E9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w:t>
            </w:r>
          </w:p>
        </w:tc>
        <w:tc>
          <w:tcPr>
            <w:tcW w:w="1793" w:type="dxa"/>
            <w:vAlign w:val="center"/>
          </w:tcPr>
          <w:p w14:paraId="4CC14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消防水带6寸（没有接头）</w:t>
            </w:r>
          </w:p>
        </w:tc>
        <w:tc>
          <w:tcPr>
            <w:tcW w:w="1710" w:type="dxa"/>
            <w:vAlign w:val="center"/>
          </w:tcPr>
          <w:p w14:paraId="10CE1C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960米</w:t>
            </w:r>
          </w:p>
        </w:tc>
        <w:tc>
          <w:tcPr>
            <w:tcW w:w="3960" w:type="dxa"/>
            <w:vAlign w:val="center"/>
          </w:tcPr>
          <w:p w14:paraId="3B16D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6寸</w:t>
            </w:r>
          </w:p>
        </w:tc>
        <w:tc>
          <w:tcPr>
            <w:tcW w:w="1740" w:type="dxa"/>
            <w:vAlign w:val="center"/>
          </w:tcPr>
          <w:p w14:paraId="18959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7F329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387825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F6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42" w:type="dxa"/>
            <w:vAlign w:val="center"/>
          </w:tcPr>
          <w:p w14:paraId="63F01E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c>
          <w:tcPr>
            <w:tcW w:w="1793" w:type="dxa"/>
            <w:vAlign w:val="center"/>
          </w:tcPr>
          <w:p w14:paraId="7F5E11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消防水带4寸（没有接头）</w:t>
            </w:r>
          </w:p>
        </w:tc>
        <w:tc>
          <w:tcPr>
            <w:tcW w:w="1710" w:type="dxa"/>
            <w:vAlign w:val="center"/>
          </w:tcPr>
          <w:p w14:paraId="5A977F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920米</w:t>
            </w:r>
          </w:p>
        </w:tc>
        <w:tc>
          <w:tcPr>
            <w:tcW w:w="3960" w:type="dxa"/>
            <w:vAlign w:val="center"/>
          </w:tcPr>
          <w:p w14:paraId="4590F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4寸</w:t>
            </w:r>
          </w:p>
        </w:tc>
        <w:tc>
          <w:tcPr>
            <w:tcW w:w="1740" w:type="dxa"/>
            <w:vAlign w:val="center"/>
          </w:tcPr>
          <w:p w14:paraId="32CCBC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3AE5C4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1595A7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5588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14:paraId="495D7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w:t>
            </w:r>
          </w:p>
        </w:tc>
        <w:tc>
          <w:tcPr>
            <w:tcW w:w="1793" w:type="dxa"/>
            <w:vAlign w:val="center"/>
          </w:tcPr>
          <w:p w14:paraId="34B58C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救援绳</w:t>
            </w:r>
          </w:p>
        </w:tc>
        <w:tc>
          <w:tcPr>
            <w:tcW w:w="1710" w:type="dxa"/>
            <w:vAlign w:val="center"/>
          </w:tcPr>
          <w:p w14:paraId="27657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970米（每根10米）</w:t>
            </w:r>
          </w:p>
        </w:tc>
        <w:tc>
          <w:tcPr>
            <w:tcW w:w="3960" w:type="dxa"/>
            <w:vAlign w:val="center"/>
          </w:tcPr>
          <w:p w14:paraId="58C8F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涤纶丝＋钢丝芯，</w:t>
            </w:r>
          </w:p>
          <w:p w14:paraId="3DA4E0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规格：10mm*100m</w:t>
            </w:r>
          </w:p>
        </w:tc>
        <w:tc>
          <w:tcPr>
            <w:tcW w:w="1740" w:type="dxa"/>
            <w:vAlign w:val="center"/>
          </w:tcPr>
          <w:p w14:paraId="0B8208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F4AD9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1B6AA6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BF2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42" w:type="dxa"/>
            <w:vAlign w:val="center"/>
          </w:tcPr>
          <w:p w14:paraId="07C697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w:t>
            </w:r>
          </w:p>
        </w:tc>
        <w:tc>
          <w:tcPr>
            <w:tcW w:w="1793" w:type="dxa"/>
            <w:vAlign w:val="center"/>
          </w:tcPr>
          <w:p w14:paraId="4B5CD5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自吸水泵4寸</w:t>
            </w:r>
          </w:p>
        </w:tc>
        <w:tc>
          <w:tcPr>
            <w:tcW w:w="1710" w:type="dxa"/>
            <w:vAlign w:val="center"/>
          </w:tcPr>
          <w:p w14:paraId="6A2059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5E1C10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杨程≥30m，吸程≥7m，流量≥70m3/h，尺寸：4寸，转速：3600r/min，形式：单杠直立四冲程风冷柴油机</w:t>
            </w:r>
          </w:p>
        </w:tc>
        <w:tc>
          <w:tcPr>
            <w:tcW w:w="1740" w:type="dxa"/>
            <w:vAlign w:val="center"/>
          </w:tcPr>
          <w:p w14:paraId="3D684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32AEA5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54FF2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DC0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2" w:type="dxa"/>
            <w:vAlign w:val="center"/>
          </w:tcPr>
          <w:p w14:paraId="704405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w:t>
            </w:r>
          </w:p>
        </w:tc>
        <w:tc>
          <w:tcPr>
            <w:tcW w:w="1793" w:type="dxa"/>
            <w:vAlign w:val="center"/>
          </w:tcPr>
          <w:p w14:paraId="0A9929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自吸水泵6寸</w:t>
            </w:r>
          </w:p>
        </w:tc>
        <w:tc>
          <w:tcPr>
            <w:tcW w:w="1710" w:type="dxa"/>
            <w:vAlign w:val="center"/>
          </w:tcPr>
          <w:p w14:paraId="0563EA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4FEABD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0B857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7A573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3E50C4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43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42" w:type="dxa"/>
            <w:vAlign w:val="center"/>
          </w:tcPr>
          <w:p w14:paraId="231558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w:t>
            </w:r>
          </w:p>
        </w:tc>
        <w:tc>
          <w:tcPr>
            <w:tcW w:w="1793" w:type="dxa"/>
            <w:vAlign w:val="center"/>
          </w:tcPr>
          <w:p w14:paraId="1C46F3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救生衣（在救生圈包里）</w:t>
            </w:r>
          </w:p>
        </w:tc>
        <w:tc>
          <w:tcPr>
            <w:tcW w:w="1710" w:type="dxa"/>
            <w:vAlign w:val="center"/>
          </w:tcPr>
          <w:p w14:paraId="17F4CE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99套</w:t>
            </w:r>
          </w:p>
        </w:tc>
        <w:tc>
          <w:tcPr>
            <w:tcW w:w="3960" w:type="dxa"/>
            <w:vAlign w:val="center"/>
          </w:tcPr>
          <w:p w14:paraId="4D6447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加厚牛津布，橙色</w:t>
            </w:r>
          </w:p>
        </w:tc>
        <w:tc>
          <w:tcPr>
            <w:tcW w:w="1740" w:type="dxa"/>
            <w:vAlign w:val="center"/>
          </w:tcPr>
          <w:p w14:paraId="319A24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5F031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33D997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7D9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68299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w:t>
            </w:r>
          </w:p>
        </w:tc>
        <w:tc>
          <w:tcPr>
            <w:tcW w:w="1793" w:type="dxa"/>
            <w:vAlign w:val="center"/>
          </w:tcPr>
          <w:p w14:paraId="71BA12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救生圈</w:t>
            </w:r>
          </w:p>
        </w:tc>
        <w:tc>
          <w:tcPr>
            <w:tcW w:w="1710" w:type="dxa"/>
            <w:vAlign w:val="center"/>
          </w:tcPr>
          <w:p w14:paraId="189C94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100个</w:t>
            </w:r>
          </w:p>
        </w:tc>
        <w:tc>
          <w:tcPr>
            <w:tcW w:w="3960" w:type="dxa"/>
            <w:vAlign w:val="center"/>
          </w:tcPr>
          <w:p w14:paraId="6ABA69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救生圈采用实心高密度泡沫填充，外用加厚牛津布缝包，白色尼龙绳穿边，颜色为橙色，显眼醒目；重.5kg；浮力：≧14.5KG（适合体重350斤的人使用）；配有四条等距反光带，方便夜间救援</w:t>
            </w:r>
          </w:p>
        </w:tc>
        <w:tc>
          <w:tcPr>
            <w:tcW w:w="1740" w:type="dxa"/>
            <w:vAlign w:val="center"/>
          </w:tcPr>
          <w:p w14:paraId="3945D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1A2706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61E1F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65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084CC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12</w:t>
            </w:r>
          </w:p>
        </w:tc>
        <w:tc>
          <w:tcPr>
            <w:tcW w:w="1793" w:type="dxa"/>
            <w:vAlign w:val="center"/>
          </w:tcPr>
          <w:p w14:paraId="3E956E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沙袋包</w:t>
            </w:r>
          </w:p>
        </w:tc>
        <w:tc>
          <w:tcPr>
            <w:tcW w:w="1710" w:type="dxa"/>
            <w:vAlign w:val="center"/>
          </w:tcPr>
          <w:p w14:paraId="5A7E3B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1650个</w:t>
            </w:r>
          </w:p>
        </w:tc>
        <w:tc>
          <w:tcPr>
            <w:tcW w:w="3960" w:type="dxa"/>
            <w:vAlign w:val="center"/>
          </w:tcPr>
          <w:p w14:paraId="461529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29EEE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73AE6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75C3F7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11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AAE71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13</w:t>
            </w:r>
          </w:p>
        </w:tc>
        <w:tc>
          <w:tcPr>
            <w:tcW w:w="1793" w:type="dxa"/>
            <w:vAlign w:val="center"/>
          </w:tcPr>
          <w:p w14:paraId="6C03DA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长条照明灯</w:t>
            </w:r>
          </w:p>
        </w:tc>
        <w:tc>
          <w:tcPr>
            <w:tcW w:w="1710" w:type="dxa"/>
            <w:vAlign w:val="center"/>
          </w:tcPr>
          <w:p w14:paraId="023F42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230个</w:t>
            </w:r>
          </w:p>
        </w:tc>
        <w:tc>
          <w:tcPr>
            <w:tcW w:w="3960" w:type="dxa"/>
            <w:vAlign w:val="center"/>
          </w:tcPr>
          <w:p w14:paraId="1E4CA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外壳材质：ABS塑料；续航时间≥300分钟；重量≤680g，防水等级IP31；光通量≥900LM</w:t>
            </w:r>
          </w:p>
        </w:tc>
        <w:tc>
          <w:tcPr>
            <w:tcW w:w="1740" w:type="dxa"/>
            <w:vAlign w:val="center"/>
          </w:tcPr>
          <w:p w14:paraId="63679E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3FF247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4号，2楼办公室</w:t>
            </w:r>
          </w:p>
        </w:tc>
        <w:tc>
          <w:tcPr>
            <w:tcW w:w="1983" w:type="dxa"/>
            <w:vAlign w:val="center"/>
          </w:tcPr>
          <w:p w14:paraId="7F1AAC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D4F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A954F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14</w:t>
            </w:r>
          </w:p>
        </w:tc>
        <w:tc>
          <w:tcPr>
            <w:tcW w:w="1793" w:type="dxa"/>
            <w:vAlign w:val="center"/>
          </w:tcPr>
          <w:p w14:paraId="336EE3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汽油发电机</w:t>
            </w:r>
          </w:p>
        </w:tc>
        <w:tc>
          <w:tcPr>
            <w:tcW w:w="1710" w:type="dxa"/>
            <w:vAlign w:val="center"/>
          </w:tcPr>
          <w:p w14:paraId="2955EB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18B35A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单三相8kw汽油发电机</w:t>
            </w:r>
          </w:p>
        </w:tc>
        <w:tc>
          <w:tcPr>
            <w:tcW w:w="1740" w:type="dxa"/>
            <w:vAlign w:val="center"/>
          </w:tcPr>
          <w:p w14:paraId="1EE39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52F1D6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012AD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29B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A02D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1793" w:type="dxa"/>
            <w:vAlign w:val="center"/>
          </w:tcPr>
          <w:p w14:paraId="3DCAA5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小手电</w:t>
            </w:r>
          </w:p>
        </w:tc>
        <w:tc>
          <w:tcPr>
            <w:tcW w:w="1710" w:type="dxa"/>
            <w:vAlign w:val="center"/>
          </w:tcPr>
          <w:p w14:paraId="6B07DB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p>
        </w:tc>
        <w:tc>
          <w:tcPr>
            <w:tcW w:w="3960" w:type="dxa"/>
            <w:vAlign w:val="center"/>
          </w:tcPr>
          <w:p w14:paraId="2F271B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额定功率15w；外壳材质：铝合金；续航时间≥2H；重量≤140g，防水等级IP43；光通量≥900LM</w:t>
            </w:r>
          </w:p>
        </w:tc>
        <w:tc>
          <w:tcPr>
            <w:tcW w:w="1740" w:type="dxa"/>
            <w:vAlign w:val="center"/>
          </w:tcPr>
          <w:p w14:paraId="6EAACA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3BB70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2楼办公室</w:t>
            </w:r>
          </w:p>
        </w:tc>
        <w:tc>
          <w:tcPr>
            <w:tcW w:w="1983" w:type="dxa"/>
            <w:vAlign w:val="center"/>
          </w:tcPr>
          <w:p w14:paraId="5359B1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A2E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910C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16</w:t>
            </w:r>
          </w:p>
        </w:tc>
        <w:tc>
          <w:tcPr>
            <w:tcW w:w="1793" w:type="dxa"/>
            <w:vAlign w:val="center"/>
          </w:tcPr>
          <w:p w14:paraId="7D5E91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担架</w:t>
            </w:r>
          </w:p>
        </w:tc>
        <w:tc>
          <w:tcPr>
            <w:tcW w:w="1710" w:type="dxa"/>
            <w:vAlign w:val="center"/>
          </w:tcPr>
          <w:p w14:paraId="1C5CC1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4个</w:t>
            </w:r>
          </w:p>
        </w:tc>
        <w:tc>
          <w:tcPr>
            <w:tcW w:w="3960" w:type="dxa"/>
            <w:vAlign w:val="center"/>
          </w:tcPr>
          <w:p w14:paraId="1F05D5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139AFC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81F40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056429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4A41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D7F1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17</w:t>
            </w:r>
          </w:p>
        </w:tc>
        <w:tc>
          <w:tcPr>
            <w:tcW w:w="1793" w:type="dxa"/>
            <w:vAlign w:val="center"/>
          </w:tcPr>
          <w:p w14:paraId="22A48F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三号灭火工具</w:t>
            </w:r>
          </w:p>
        </w:tc>
        <w:tc>
          <w:tcPr>
            <w:tcW w:w="1710" w:type="dxa"/>
            <w:vAlign w:val="center"/>
          </w:tcPr>
          <w:p w14:paraId="792718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800把</w:t>
            </w:r>
          </w:p>
        </w:tc>
        <w:tc>
          <w:tcPr>
            <w:tcW w:w="3960" w:type="dxa"/>
            <w:vAlign w:val="center"/>
          </w:tcPr>
          <w:p w14:paraId="270334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铁</w:t>
            </w:r>
          </w:p>
        </w:tc>
        <w:tc>
          <w:tcPr>
            <w:tcW w:w="1740" w:type="dxa"/>
            <w:vAlign w:val="center"/>
          </w:tcPr>
          <w:p w14:paraId="009FAB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3A27A4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5FD901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3A7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AB32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w:t>
            </w:r>
          </w:p>
        </w:tc>
        <w:tc>
          <w:tcPr>
            <w:tcW w:w="1793" w:type="dxa"/>
            <w:vAlign w:val="center"/>
          </w:tcPr>
          <w:p w14:paraId="5F6FAA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二号灭火工具</w:t>
            </w:r>
          </w:p>
        </w:tc>
        <w:tc>
          <w:tcPr>
            <w:tcW w:w="1710" w:type="dxa"/>
            <w:vAlign w:val="center"/>
          </w:tcPr>
          <w:p w14:paraId="4ABBCE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400把</w:t>
            </w:r>
          </w:p>
        </w:tc>
        <w:tc>
          <w:tcPr>
            <w:tcW w:w="3960" w:type="dxa"/>
            <w:vAlign w:val="center"/>
          </w:tcPr>
          <w:p w14:paraId="48B261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木</w:t>
            </w:r>
          </w:p>
        </w:tc>
        <w:tc>
          <w:tcPr>
            <w:tcW w:w="1740" w:type="dxa"/>
            <w:vAlign w:val="center"/>
          </w:tcPr>
          <w:p w14:paraId="2065F4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w:t>
            </w:r>
          </w:p>
        </w:tc>
        <w:tc>
          <w:tcPr>
            <w:tcW w:w="1632" w:type="dxa"/>
            <w:vAlign w:val="center"/>
          </w:tcPr>
          <w:p w14:paraId="2F55CE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1FFF3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999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033E2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19</w:t>
            </w:r>
          </w:p>
        </w:tc>
        <w:tc>
          <w:tcPr>
            <w:tcW w:w="1793" w:type="dxa"/>
            <w:vAlign w:val="center"/>
          </w:tcPr>
          <w:p w14:paraId="3412E5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棉帐篷</w:t>
            </w:r>
          </w:p>
        </w:tc>
        <w:tc>
          <w:tcPr>
            <w:tcW w:w="1710" w:type="dxa"/>
            <w:vAlign w:val="center"/>
          </w:tcPr>
          <w:p w14:paraId="220B1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325顶</w:t>
            </w:r>
          </w:p>
        </w:tc>
        <w:tc>
          <w:tcPr>
            <w:tcW w:w="3960" w:type="dxa"/>
            <w:vAlign w:val="center"/>
          </w:tcPr>
          <w:p w14:paraId="693F0E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150顶蓝色帐篷（包含帐篷包、钢管）；99顶市局帐篷（包含篷芯、篷体、钢管）；50顶捐赠帐篷；25顶南二楼大厅</w:t>
            </w:r>
          </w:p>
        </w:tc>
        <w:tc>
          <w:tcPr>
            <w:tcW w:w="1740" w:type="dxa"/>
            <w:vAlign w:val="center"/>
          </w:tcPr>
          <w:p w14:paraId="7D811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23368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大厅，地下车库19号22号23号</w:t>
            </w:r>
          </w:p>
        </w:tc>
        <w:tc>
          <w:tcPr>
            <w:tcW w:w="1983" w:type="dxa"/>
            <w:vAlign w:val="center"/>
          </w:tcPr>
          <w:p w14:paraId="1E3627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512B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2" w:type="dxa"/>
            <w:vAlign w:val="center"/>
          </w:tcPr>
          <w:p w14:paraId="1DF6EF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1793" w:type="dxa"/>
            <w:vAlign w:val="center"/>
          </w:tcPr>
          <w:p w14:paraId="3849ED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单帐篷</w:t>
            </w:r>
          </w:p>
        </w:tc>
        <w:tc>
          <w:tcPr>
            <w:tcW w:w="1710" w:type="dxa"/>
            <w:vAlign w:val="center"/>
          </w:tcPr>
          <w:p w14:paraId="709168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5E1C8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铝合金杆，使用面积12平方</w:t>
            </w:r>
          </w:p>
        </w:tc>
        <w:tc>
          <w:tcPr>
            <w:tcW w:w="1740" w:type="dxa"/>
            <w:vAlign w:val="center"/>
          </w:tcPr>
          <w:p w14:paraId="1FE92A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7EE054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74FE9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全部出库</w:t>
            </w:r>
          </w:p>
        </w:tc>
      </w:tr>
      <w:tr w14:paraId="3CC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2" w:type="dxa"/>
            <w:vAlign w:val="center"/>
          </w:tcPr>
          <w:p w14:paraId="3F82F7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w:t>
            </w:r>
          </w:p>
        </w:tc>
        <w:tc>
          <w:tcPr>
            <w:tcW w:w="1793" w:type="dxa"/>
            <w:vAlign w:val="center"/>
          </w:tcPr>
          <w:p w14:paraId="3393A5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帐篷钢管</w:t>
            </w:r>
          </w:p>
        </w:tc>
        <w:tc>
          <w:tcPr>
            <w:tcW w:w="1710" w:type="dxa"/>
            <w:vAlign w:val="center"/>
          </w:tcPr>
          <w:p w14:paraId="4F7BC2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5F47E5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铝合金杆，使用面积12平方</w:t>
            </w:r>
          </w:p>
        </w:tc>
        <w:tc>
          <w:tcPr>
            <w:tcW w:w="1740" w:type="dxa"/>
            <w:vAlign w:val="center"/>
          </w:tcPr>
          <w:p w14:paraId="59E54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90249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04B50A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全部出库</w:t>
            </w:r>
          </w:p>
        </w:tc>
      </w:tr>
      <w:tr w14:paraId="41B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D68FE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22</w:t>
            </w:r>
          </w:p>
        </w:tc>
        <w:tc>
          <w:tcPr>
            <w:tcW w:w="1793" w:type="dxa"/>
            <w:vAlign w:val="center"/>
          </w:tcPr>
          <w:p w14:paraId="23611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联想笔记本电脑</w:t>
            </w:r>
          </w:p>
        </w:tc>
        <w:tc>
          <w:tcPr>
            <w:tcW w:w="1710" w:type="dxa"/>
            <w:vAlign w:val="center"/>
          </w:tcPr>
          <w:p w14:paraId="001244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3台</w:t>
            </w:r>
          </w:p>
        </w:tc>
        <w:tc>
          <w:tcPr>
            <w:tcW w:w="3960" w:type="dxa"/>
            <w:vAlign w:val="center"/>
          </w:tcPr>
          <w:p w14:paraId="5F8C72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A5D96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2E5396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23052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5E7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0B456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23</w:t>
            </w:r>
          </w:p>
        </w:tc>
        <w:tc>
          <w:tcPr>
            <w:tcW w:w="1793" w:type="dxa"/>
            <w:vAlign w:val="center"/>
          </w:tcPr>
          <w:p w14:paraId="08D0A5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华为平板电脑</w:t>
            </w:r>
          </w:p>
        </w:tc>
        <w:tc>
          <w:tcPr>
            <w:tcW w:w="1710" w:type="dxa"/>
            <w:vAlign w:val="center"/>
          </w:tcPr>
          <w:p w14:paraId="2A43B8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5台</w:t>
            </w:r>
          </w:p>
        </w:tc>
        <w:tc>
          <w:tcPr>
            <w:tcW w:w="3960" w:type="dxa"/>
            <w:vAlign w:val="center"/>
          </w:tcPr>
          <w:p w14:paraId="65B102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EF07A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265780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7BE5B3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4CA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7F759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24</w:t>
            </w:r>
          </w:p>
        </w:tc>
        <w:tc>
          <w:tcPr>
            <w:tcW w:w="1793" w:type="dxa"/>
            <w:vAlign w:val="center"/>
          </w:tcPr>
          <w:p w14:paraId="0188D1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无人机</w:t>
            </w:r>
          </w:p>
        </w:tc>
        <w:tc>
          <w:tcPr>
            <w:tcW w:w="1710" w:type="dxa"/>
            <w:vAlign w:val="center"/>
          </w:tcPr>
          <w:p w14:paraId="71F5C3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2台</w:t>
            </w:r>
          </w:p>
        </w:tc>
        <w:tc>
          <w:tcPr>
            <w:tcW w:w="3960" w:type="dxa"/>
            <w:vAlign w:val="center"/>
          </w:tcPr>
          <w:p w14:paraId="1675E8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65FE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4308BF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0581DE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7EA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2" w:type="dxa"/>
            <w:vAlign w:val="center"/>
          </w:tcPr>
          <w:p w14:paraId="4CFD3D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25</w:t>
            </w:r>
          </w:p>
        </w:tc>
        <w:tc>
          <w:tcPr>
            <w:tcW w:w="1793" w:type="dxa"/>
            <w:vAlign w:val="center"/>
          </w:tcPr>
          <w:p w14:paraId="493881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对讲机（车载）</w:t>
            </w:r>
          </w:p>
        </w:tc>
        <w:tc>
          <w:tcPr>
            <w:tcW w:w="1710" w:type="dxa"/>
            <w:vAlign w:val="center"/>
          </w:tcPr>
          <w:p w14:paraId="1D8E3A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6台</w:t>
            </w:r>
          </w:p>
        </w:tc>
        <w:tc>
          <w:tcPr>
            <w:tcW w:w="3960" w:type="dxa"/>
            <w:vAlign w:val="center"/>
          </w:tcPr>
          <w:p w14:paraId="21342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88E00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3C2AF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48CE6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4EF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97CE0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26</w:t>
            </w:r>
          </w:p>
        </w:tc>
        <w:tc>
          <w:tcPr>
            <w:tcW w:w="1793" w:type="dxa"/>
            <w:vAlign w:val="center"/>
          </w:tcPr>
          <w:p w14:paraId="354559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对讲机（手持）</w:t>
            </w:r>
          </w:p>
        </w:tc>
        <w:tc>
          <w:tcPr>
            <w:tcW w:w="1710" w:type="dxa"/>
            <w:vAlign w:val="center"/>
          </w:tcPr>
          <w:p w14:paraId="7F5F97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18台</w:t>
            </w:r>
          </w:p>
        </w:tc>
        <w:tc>
          <w:tcPr>
            <w:tcW w:w="3960" w:type="dxa"/>
            <w:vAlign w:val="center"/>
          </w:tcPr>
          <w:p w14:paraId="0CFF0D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17E70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通讯</w:t>
            </w:r>
          </w:p>
        </w:tc>
        <w:tc>
          <w:tcPr>
            <w:tcW w:w="1632" w:type="dxa"/>
            <w:vAlign w:val="center"/>
          </w:tcPr>
          <w:p w14:paraId="6EF49A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45E53F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58CD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2" w:type="dxa"/>
            <w:vAlign w:val="center"/>
          </w:tcPr>
          <w:p w14:paraId="015FB6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27</w:t>
            </w:r>
          </w:p>
        </w:tc>
        <w:tc>
          <w:tcPr>
            <w:tcW w:w="1793" w:type="dxa"/>
            <w:vAlign w:val="center"/>
          </w:tcPr>
          <w:p w14:paraId="6FB50F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棉大衣</w:t>
            </w:r>
          </w:p>
        </w:tc>
        <w:tc>
          <w:tcPr>
            <w:tcW w:w="1710" w:type="dxa"/>
            <w:vAlign w:val="center"/>
          </w:tcPr>
          <w:p w14:paraId="0602B6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88件</w:t>
            </w:r>
          </w:p>
        </w:tc>
        <w:tc>
          <w:tcPr>
            <w:tcW w:w="3960" w:type="dxa"/>
            <w:vAlign w:val="center"/>
          </w:tcPr>
          <w:p w14:paraId="7B80B7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AC6E2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785A8D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二楼</w:t>
            </w:r>
          </w:p>
        </w:tc>
        <w:tc>
          <w:tcPr>
            <w:tcW w:w="1983" w:type="dxa"/>
            <w:vAlign w:val="center"/>
          </w:tcPr>
          <w:p w14:paraId="53E071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原88件10.1日出100件</w:t>
            </w:r>
          </w:p>
        </w:tc>
      </w:tr>
      <w:tr w14:paraId="702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E0B3D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28</w:t>
            </w:r>
          </w:p>
        </w:tc>
        <w:tc>
          <w:tcPr>
            <w:tcW w:w="1793" w:type="dxa"/>
            <w:vAlign w:val="center"/>
          </w:tcPr>
          <w:p w14:paraId="222AC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尼龙沙袋</w:t>
            </w:r>
          </w:p>
        </w:tc>
        <w:tc>
          <w:tcPr>
            <w:tcW w:w="1710" w:type="dxa"/>
            <w:vAlign w:val="center"/>
          </w:tcPr>
          <w:p w14:paraId="27007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5000个</w:t>
            </w:r>
          </w:p>
        </w:tc>
        <w:tc>
          <w:tcPr>
            <w:tcW w:w="3960" w:type="dxa"/>
            <w:vAlign w:val="center"/>
          </w:tcPr>
          <w:p w14:paraId="79646B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尺寸：50*75cm；</w:t>
            </w:r>
          </w:p>
          <w:p w14:paraId="34D462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材质：聚丙烯；加厚款</w:t>
            </w:r>
          </w:p>
        </w:tc>
        <w:tc>
          <w:tcPr>
            <w:tcW w:w="1740" w:type="dxa"/>
            <w:vAlign w:val="center"/>
          </w:tcPr>
          <w:p w14:paraId="729C7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F45F7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7C187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42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8BA2B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29</w:t>
            </w:r>
          </w:p>
        </w:tc>
        <w:tc>
          <w:tcPr>
            <w:tcW w:w="1793" w:type="dxa"/>
            <w:vAlign w:val="center"/>
          </w:tcPr>
          <w:p w14:paraId="7E4C95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镐</w:t>
            </w:r>
          </w:p>
        </w:tc>
        <w:tc>
          <w:tcPr>
            <w:tcW w:w="1710" w:type="dxa"/>
            <w:vAlign w:val="center"/>
          </w:tcPr>
          <w:p w14:paraId="7D7901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49个</w:t>
            </w:r>
          </w:p>
        </w:tc>
        <w:tc>
          <w:tcPr>
            <w:tcW w:w="3960" w:type="dxa"/>
            <w:vAlign w:val="center"/>
          </w:tcPr>
          <w:p w14:paraId="2B8125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锰钢，全长85cm，</w:t>
            </w:r>
          </w:p>
          <w:p w14:paraId="51ED44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镐头尺寸：37*6cm</w:t>
            </w:r>
          </w:p>
        </w:tc>
        <w:tc>
          <w:tcPr>
            <w:tcW w:w="1740" w:type="dxa"/>
            <w:vAlign w:val="center"/>
          </w:tcPr>
          <w:p w14:paraId="7FF7E4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4AA2B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2，单位二楼</w:t>
            </w:r>
          </w:p>
        </w:tc>
        <w:tc>
          <w:tcPr>
            <w:tcW w:w="1983" w:type="dxa"/>
            <w:vAlign w:val="center"/>
          </w:tcPr>
          <w:p w14:paraId="655AF2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66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2" w:type="dxa"/>
            <w:vAlign w:val="center"/>
          </w:tcPr>
          <w:p w14:paraId="1BE0A9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c>
          <w:tcPr>
            <w:tcW w:w="1793" w:type="dxa"/>
            <w:vAlign w:val="center"/>
          </w:tcPr>
          <w:p w14:paraId="13DE4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雨伞</w:t>
            </w:r>
          </w:p>
        </w:tc>
        <w:tc>
          <w:tcPr>
            <w:tcW w:w="1710" w:type="dxa"/>
            <w:vAlign w:val="center"/>
          </w:tcPr>
          <w:p w14:paraId="0FE0A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10个</w:t>
            </w:r>
          </w:p>
        </w:tc>
        <w:tc>
          <w:tcPr>
            <w:tcW w:w="3960" w:type="dxa"/>
            <w:vAlign w:val="center"/>
          </w:tcPr>
          <w:p w14:paraId="524E0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直杆伞；面料：聚酯纤维；骨架：全钢＋玻纤</w:t>
            </w:r>
          </w:p>
        </w:tc>
        <w:tc>
          <w:tcPr>
            <w:tcW w:w="1740" w:type="dxa"/>
            <w:vAlign w:val="center"/>
          </w:tcPr>
          <w:p w14:paraId="17B3CE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5101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BB09A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56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42" w:type="dxa"/>
            <w:vAlign w:val="center"/>
          </w:tcPr>
          <w:p w14:paraId="7C2D49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31</w:t>
            </w:r>
          </w:p>
        </w:tc>
        <w:tc>
          <w:tcPr>
            <w:tcW w:w="1793" w:type="dxa"/>
            <w:vAlign w:val="center"/>
          </w:tcPr>
          <w:p w14:paraId="2E5CC4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棉线手套</w:t>
            </w:r>
          </w:p>
        </w:tc>
        <w:tc>
          <w:tcPr>
            <w:tcW w:w="1710" w:type="dxa"/>
            <w:vAlign w:val="center"/>
          </w:tcPr>
          <w:p w14:paraId="187667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2427A4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0BBFB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0193A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1F6A54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35A5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2" w:type="dxa"/>
            <w:vAlign w:val="center"/>
          </w:tcPr>
          <w:p w14:paraId="2CA59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32</w:t>
            </w:r>
          </w:p>
        </w:tc>
        <w:tc>
          <w:tcPr>
            <w:tcW w:w="1793" w:type="dxa"/>
            <w:vAlign w:val="center"/>
          </w:tcPr>
          <w:p w14:paraId="43F7F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胶面手套</w:t>
            </w:r>
          </w:p>
        </w:tc>
        <w:tc>
          <w:tcPr>
            <w:tcW w:w="1710" w:type="dxa"/>
            <w:vAlign w:val="center"/>
          </w:tcPr>
          <w:p w14:paraId="4FB7FC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0</w:t>
            </w:r>
          </w:p>
        </w:tc>
        <w:tc>
          <w:tcPr>
            <w:tcW w:w="3960" w:type="dxa"/>
            <w:vAlign w:val="center"/>
          </w:tcPr>
          <w:p w14:paraId="45C623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FC6AB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175CC9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716F4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20C2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DB675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33</w:t>
            </w:r>
          </w:p>
        </w:tc>
        <w:tc>
          <w:tcPr>
            <w:tcW w:w="1793" w:type="dxa"/>
            <w:vAlign w:val="center"/>
          </w:tcPr>
          <w:p w14:paraId="15576F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迷彩服</w:t>
            </w:r>
          </w:p>
        </w:tc>
        <w:tc>
          <w:tcPr>
            <w:tcW w:w="1710" w:type="dxa"/>
            <w:vAlign w:val="center"/>
          </w:tcPr>
          <w:p w14:paraId="6A7FDB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60套</w:t>
            </w:r>
          </w:p>
        </w:tc>
        <w:tc>
          <w:tcPr>
            <w:tcW w:w="3960" w:type="dxa"/>
            <w:vAlign w:val="center"/>
          </w:tcPr>
          <w:p w14:paraId="486602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DE3B0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6DE37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68EC59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7A1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7AD88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34</w:t>
            </w:r>
          </w:p>
        </w:tc>
        <w:tc>
          <w:tcPr>
            <w:tcW w:w="1793" w:type="dxa"/>
            <w:vAlign w:val="center"/>
          </w:tcPr>
          <w:p w14:paraId="750891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头顶应急灯</w:t>
            </w:r>
          </w:p>
        </w:tc>
        <w:tc>
          <w:tcPr>
            <w:tcW w:w="1710" w:type="dxa"/>
            <w:vAlign w:val="center"/>
          </w:tcPr>
          <w:p w14:paraId="180DD0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10个</w:t>
            </w:r>
          </w:p>
        </w:tc>
        <w:tc>
          <w:tcPr>
            <w:tcW w:w="3960" w:type="dxa"/>
            <w:vAlign w:val="center"/>
          </w:tcPr>
          <w:p w14:paraId="322723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30F03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3A201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1D909B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6006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F258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35</w:t>
            </w:r>
          </w:p>
        </w:tc>
        <w:tc>
          <w:tcPr>
            <w:tcW w:w="1793" w:type="dxa"/>
            <w:vAlign w:val="center"/>
          </w:tcPr>
          <w:p w14:paraId="686943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手提应急灯</w:t>
            </w:r>
          </w:p>
        </w:tc>
        <w:tc>
          <w:tcPr>
            <w:tcW w:w="1710" w:type="dxa"/>
            <w:vAlign w:val="center"/>
          </w:tcPr>
          <w:p w14:paraId="41FEB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2个</w:t>
            </w:r>
          </w:p>
        </w:tc>
        <w:tc>
          <w:tcPr>
            <w:tcW w:w="3960" w:type="dxa"/>
            <w:vAlign w:val="center"/>
          </w:tcPr>
          <w:p w14:paraId="099159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B5428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75D52E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三楼</w:t>
            </w:r>
          </w:p>
        </w:tc>
        <w:tc>
          <w:tcPr>
            <w:tcW w:w="1983" w:type="dxa"/>
            <w:vAlign w:val="center"/>
          </w:tcPr>
          <w:p w14:paraId="2935C5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default" w:ascii="仿宋" w:hAnsi="仿宋" w:eastAsia="仿宋" w:cs="仿宋"/>
                <w:snapToGrid w:val="0"/>
                <w:color w:val="000000"/>
                <w:spacing w:val="9"/>
                <w:kern w:val="0"/>
                <w:sz w:val="24"/>
                <w:szCs w:val="24"/>
                <w:lang w:val="en-US" w:eastAsia="zh-CN" w:bidi="ar-SA"/>
              </w:rPr>
              <w:t>大同铁塔公司浑源分公司捐赠</w:t>
            </w:r>
          </w:p>
        </w:tc>
      </w:tr>
      <w:tr w14:paraId="0DA8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42" w:type="dxa"/>
            <w:vAlign w:val="center"/>
          </w:tcPr>
          <w:p w14:paraId="57AA28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36</w:t>
            </w:r>
          </w:p>
        </w:tc>
        <w:tc>
          <w:tcPr>
            <w:tcW w:w="1793" w:type="dxa"/>
            <w:vAlign w:val="center"/>
          </w:tcPr>
          <w:p w14:paraId="2A644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多功能大衣</w:t>
            </w:r>
          </w:p>
        </w:tc>
        <w:tc>
          <w:tcPr>
            <w:tcW w:w="1710" w:type="dxa"/>
            <w:vAlign w:val="center"/>
          </w:tcPr>
          <w:p w14:paraId="3F831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146件</w:t>
            </w:r>
          </w:p>
        </w:tc>
        <w:tc>
          <w:tcPr>
            <w:tcW w:w="3960" w:type="dxa"/>
            <w:vAlign w:val="center"/>
          </w:tcPr>
          <w:p w14:paraId="767EBF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D41C7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65E18A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单位二楼</w:t>
            </w:r>
          </w:p>
        </w:tc>
        <w:tc>
          <w:tcPr>
            <w:tcW w:w="1983" w:type="dxa"/>
            <w:vAlign w:val="center"/>
          </w:tcPr>
          <w:p w14:paraId="0646F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接收县防控领导组</w:t>
            </w:r>
          </w:p>
        </w:tc>
      </w:tr>
      <w:tr w14:paraId="3779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42" w:type="dxa"/>
            <w:vAlign w:val="center"/>
          </w:tcPr>
          <w:p w14:paraId="0E399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37</w:t>
            </w:r>
          </w:p>
        </w:tc>
        <w:tc>
          <w:tcPr>
            <w:tcW w:w="1793" w:type="dxa"/>
            <w:vAlign w:val="center"/>
          </w:tcPr>
          <w:p w14:paraId="25027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安全带（警戒绳）</w:t>
            </w:r>
          </w:p>
        </w:tc>
        <w:tc>
          <w:tcPr>
            <w:tcW w:w="1710" w:type="dxa"/>
            <w:vAlign w:val="center"/>
          </w:tcPr>
          <w:p w14:paraId="45CE1B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42盘</w:t>
            </w:r>
          </w:p>
        </w:tc>
        <w:tc>
          <w:tcPr>
            <w:tcW w:w="3960" w:type="dxa"/>
            <w:vAlign w:val="center"/>
          </w:tcPr>
          <w:p w14:paraId="3DD4A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25C414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5E2AF0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0981FF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1C0D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42" w:type="dxa"/>
            <w:vAlign w:val="center"/>
          </w:tcPr>
          <w:p w14:paraId="24C720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38</w:t>
            </w:r>
          </w:p>
        </w:tc>
        <w:tc>
          <w:tcPr>
            <w:tcW w:w="1793" w:type="dxa"/>
            <w:vAlign w:val="center"/>
          </w:tcPr>
          <w:p w14:paraId="6A1727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救援绳（长）</w:t>
            </w:r>
          </w:p>
        </w:tc>
        <w:tc>
          <w:tcPr>
            <w:tcW w:w="1710" w:type="dxa"/>
            <w:vAlign w:val="center"/>
          </w:tcPr>
          <w:p w14:paraId="294CDA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3960" w:type="dxa"/>
            <w:vAlign w:val="center"/>
          </w:tcPr>
          <w:p w14:paraId="1B965E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653430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2CD20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3DBC44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7C96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2" w:type="dxa"/>
            <w:vAlign w:val="center"/>
          </w:tcPr>
          <w:p w14:paraId="03460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39</w:t>
            </w:r>
          </w:p>
        </w:tc>
        <w:tc>
          <w:tcPr>
            <w:tcW w:w="1793" w:type="dxa"/>
            <w:vAlign w:val="center"/>
          </w:tcPr>
          <w:p w14:paraId="78ED8B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应急电线</w:t>
            </w:r>
          </w:p>
        </w:tc>
        <w:tc>
          <w:tcPr>
            <w:tcW w:w="1710" w:type="dxa"/>
            <w:vAlign w:val="center"/>
          </w:tcPr>
          <w:p w14:paraId="3866DE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3960" w:type="dxa"/>
            <w:vAlign w:val="center"/>
          </w:tcPr>
          <w:p w14:paraId="2F975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1F55D1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46342D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738936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5D09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EEAE7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w:t>
            </w:r>
          </w:p>
        </w:tc>
        <w:tc>
          <w:tcPr>
            <w:tcW w:w="1793" w:type="dxa"/>
            <w:vAlign w:val="center"/>
          </w:tcPr>
          <w:p w14:paraId="256711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铁锹头</w:t>
            </w:r>
          </w:p>
        </w:tc>
        <w:tc>
          <w:tcPr>
            <w:tcW w:w="1710" w:type="dxa"/>
            <w:vAlign w:val="center"/>
          </w:tcPr>
          <w:p w14:paraId="4F83EB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60个</w:t>
            </w:r>
          </w:p>
        </w:tc>
        <w:tc>
          <w:tcPr>
            <w:tcW w:w="3960" w:type="dxa"/>
            <w:vAlign w:val="center"/>
          </w:tcPr>
          <w:p w14:paraId="62692E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74242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EC459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3B424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1CB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C693E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41</w:t>
            </w:r>
          </w:p>
        </w:tc>
        <w:tc>
          <w:tcPr>
            <w:tcW w:w="1793" w:type="dxa"/>
            <w:vAlign w:val="center"/>
          </w:tcPr>
          <w:p w14:paraId="0818B4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铁锹柄</w:t>
            </w:r>
          </w:p>
        </w:tc>
        <w:tc>
          <w:tcPr>
            <w:tcW w:w="1710" w:type="dxa"/>
            <w:vAlign w:val="center"/>
          </w:tcPr>
          <w:p w14:paraId="14599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60把</w:t>
            </w:r>
          </w:p>
        </w:tc>
        <w:tc>
          <w:tcPr>
            <w:tcW w:w="3960" w:type="dxa"/>
            <w:vAlign w:val="center"/>
          </w:tcPr>
          <w:p w14:paraId="22C9A0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F6DE2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4B489E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7503E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接收于防汛物资采购</w:t>
            </w:r>
          </w:p>
        </w:tc>
      </w:tr>
      <w:tr w14:paraId="631F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0F7E8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1793" w:type="dxa"/>
            <w:vAlign w:val="center"/>
          </w:tcPr>
          <w:p w14:paraId="7722F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防火服</w:t>
            </w:r>
          </w:p>
        </w:tc>
        <w:tc>
          <w:tcPr>
            <w:tcW w:w="1710" w:type="dxa"/>
            <w:vAlign w:val="center"/>
          </w:tcPr>
          <w:p w14:paraId="2971F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21套</w:t>
            </w:r>
          </w:p>
        </w:tc>
        <w:tc>
          <w:tcPr>
            <w:tcW w:w="3960" w:type="dxa"/>
            <w:vAlign w:val="center"/>
          </w:tcPr>
          <w:p w14:paraId="79BEF1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8E4B9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7EFB6C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467D26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市应急局</w:t>
            </w:r>
          </w:p>
        </w:tc>
      </w:tr>
      <w:tr w14:paraId="432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579955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43</w:t>
            </w:r>
          </w:p>
        </w:tc>
        <w:tc>
          <w:tcPr>
            <w:tcW w:w="1793" w:type="dxa"/>
            <w:vAlign w:val="center"/>
          </w:tcPr>
          <w:p w14:paraId="2714B4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消毒液</w:t>
            </w:r>
          </w:p>
        </w:tc>
        <w:tc>
          <w:tcPr>
            <w:tcW w:w="1710" w:type="dxa"/>
            <w:vAlign w:val="center"/>
          </w:tcPr>
          <w:p w14:paraId="2C549F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24箱x10</w:t>
            </w:r>
          </w:p>
        </w:tc>
        <w:tc>
          <w:tcPr>
            <w:tcW w:w="3960" w:type="dxa"/>
            <w:vAlign w:val="center"/>
          </w:tcPr>
          <w:p w14:paraId="44A55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69404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3188BA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32986E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0F8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1E0DD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44</w:t>
            </w:r>
          </w:p>
        </w:tc>
        <w:tc>
          <w:tcPr>
            <w:tcW w:w="1793" w:type="dxa"/>
            <w:vAlign w:val="center"/>
          </w:tcPr>
          <w:p w14:paraId="31987E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免洗手凝胶</w:t>
            </w:r>
          </w:p>
        </w:tc>
        <w:tc>
          <w:tcPr>
            <w:tcW w:w="1710" w:type="dxa"/>
            <w:vAlign w:val="center"/>
          </w:tcPr>
          <w:p w14:paraId="0D500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p>
        </w:tc>
        <w:tc>
          <w:tcPr>
            <w:tcW w:w="3960" w:type="dxa"/>
            <w:vAlign w:val="center"/>
          </w:tcPr>
          <w:p w14:paraId="744AFA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9A83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3CC138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p>
        </w:tc>
        <w:tc>
          <w:tcPr>
            <w:tcW w:w="1983" w:type="dxa"/>
            <w:vAlign w:val="center"/>
          </w:tcPr>
          <w:p w14:paraId="76B78A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p w14:paraId="7063EF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全部出库</w:t>
            </w:r>
          </w:p>
        </w:tc>
      </w:tr>
      <w:tr w14:paraId="0BA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2" w:type="dxa"/>
            <w:vAlign w:val="center"/>
          </w:tcPr>
          <w:p w14:paraId="1BDFC3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45</w:t>
            </w:r>
          </w:p>
        </w:tc>
        <w:tc>
          <w:tcPr>
            <w:tcW w:w="1793" w:type="dxa"/>
            <w:vAlign w:val="center"/>
          </w:tcPr>
          <w:p w14:paraId="19A1F5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喷雾器</w:t>
            </w:r>
          </w:p>
        </w:tc>
        <w:tc>
          <w:tcPr>
            <w:tcW w:w="1710" w:type="dxa"/>
            <w:vAlign w:val="center"/>
          </w:tcPr>
          <w:p w14:paraId="18CB9E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6箱x3</w:t>
            </w:r>
          </w:p>
        </w:tc>
        <w:tc>
          <w:tcPr>
            <w:tcW w:w="3960" w:type="dxa"/>
            <w:vAlign w:val="center"/>
          </w:tcPr>
          <w:p w14:paraId="35A7D6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4D650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0212E7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248D2D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6FCA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2" w:type="dxa"/>
            <w:vAlign w:val="center"/>
          </w:tcPr>
          <w:p w14:paraId="66B6B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46</w:t>
            </w:r>
          </w:p>
        </w:tc>
        <w:tc>
          <w:tcPr>
            <w:tcW w:w="1793" w:type="dxa"/>
            <w:vAlign w:val="center"/>
          </w:tcPr>
          <w:p w14:paraId="70071F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油锯</w:t>
            </w:r>
          </w:p>
        </w:tc>
        <w:tc>
          <w:tcPr>
            <w:tcW w:w="1710" w:type="dxa"/>
            <w:vAlign w:val="center"/>
          </w:tcPr>
          <w:p w14:paraId="0780ED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3960" w:type="dxa"/>
            <w:vAlign w:val="center"/>
          </w:tcPr>
          <w:p w14:paraId="134E1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3大</w:t>
            </w:r>
          </w:p>
        </w:tc>
        <w:tc>
          <w:tcPr>
            <w:tcW w:w="1740" w:type="dxa"/>
            <w:vAlign w:val="center"/>
          </w:tcPr>
          <w:p w14:paraId="1111A9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01FA45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3D1DB5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603防火期间</w:t>
            </w:r>
          </w:p>
        </w:tc>
      </w:tr>
      <w:tr w14:paraId="5321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546B7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47</w:t>
            </w:r>
          </w:p>
        </w:tc>
        <w:tc>
          <w:tcPr>
            <w:tcW w:w="1793" w:type="dxa"/>
            <w:vAlign w:val="center"/>
          </w:tcPr>
          <w:p w14:paraId="25E0A2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镰刀</w:t>
            </w:r>
          </w:p>
        </w:tc>
        <w:tc>
          <w:tcPr>
            <w:tcW w:w="1710" w:type="dxa"/>
            <w:vAlign w:val="center"/>
          </w:tcPr>
          <w:p w14:paraId="294D1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19</w:t>
            </w:r>
          </w:p>
        </w:tc>
        <w:tc>
          <w:tcPr>
            <w:tcW w:w="3960" w:type="dxa"/>
            <w:vAlign w:val="center"/>
          </w:tcPr>
          <w:p w14:paraId="0CAD0A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772A4C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4AA06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59BD5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603防火期间</w:t>
            </w:r>
          </w:p>
        </w:tc>
      </w:tr>
      <w:tr w14:paraId="0635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D8720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48</w:t>
            </w:r>
          </w:p>
        </w:tc>
        <w:tc>
          <w:tcPr>
            <w:tcW w:w="1793" w:type="dxa"/>
            <w:vAlign w:val="center"/>
          </w:tcPr>
          <w:p w14:paraId="2FA0C1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床上用品</w:t>
            </w:r>
          </w:p>
        </w:tc>
        <w:tc>
          <w:tcPr>
            <w:tcW w:w="1710" w:type="dxa"/>
            <w:vAlign w:val="center"/>
          </w:tcPr>
          <w:p w14:paraId="4B27FA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622497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三件套</w:t>
            </w:r>
          </w:p>
        </w:tc>
        <w:tc>
          <w:tcPr>
            <w:tcW w:w="1740" w:type="dxa"/>
            <w:vAlign w:val="center"/>
          </w:tcPr>
          <w:p w14:paraId="3C10D6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49949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单位二楼</w:t>
            </w:r>
          </w:p>
        </w:tc>
        <w:tc>
          <w:tcPr>
            <w:tcW w:w="1983" w:type="dxa"/>
            <w:vAlign w:val="center"/>
          </w:tcPr>
          <w:p w14:paraId="22BA07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3522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0A1A1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49</w:t>
            </w:r>
          </w:p>
        </w:tc>
        <w:tc>
          <w:tcPr>
            <w:tcW w:w="1793" w:type="dxa"/>
            <w:vAlign w:val="center"/>
          </w:tcPr>
          <w:p w14:paraId="66921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折叠床</w:t>
            </w:r>
          </w:p>
        </w:tc>
        <w:tc>
          <w:tcPr>
            <w:tcW w:w="1710" w:type="dxa"/>
            <w:vAlign w:val="center"/>
          </w:tcPr>
          <w:p w14:paraId="4A629F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600</w:t>
            </w:r>
          </w:p>
        </w:tc>
        <w:tc>
          <w:tcPr>
            <w:tcW w:w="3960" w:type="dxa"/>
            <w:vAlign w:val="center"/>
          </w:tcPr>
          <w:p w14:paraId="6BCAFC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500张市局提供床，100张捐赠床</w:t>
            </w:r>
          </w:p>
        </w:tc>
        <w:tc>
          <w:tcPr>
            <w:tcW w:w="1740" w:type="dxa"/>
            <w:vAlign w:val="center"/>
          </w:tcPr>
          <w:p w14:paraId="6F1869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559379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地下车库24号23号</w:t>
            </w:r>
          </w:p>
        </w:tc>
        <w:tc>
          <w:tcPr>
            <w:tcW w:w="1983" w:type="dxa"/>
            <w:vAlign w:val="center"/>
          </w:tcPr>
          <w:p w14:paraId="7809F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6200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AF6B4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w:t>
            </w:r>
          </w:p>
        </w:tc>
        <w:tc>
          <w:tcPr>
            <w:tcW w:w="1793" w:type="dxa"/>
            <w:vAlign w:val="center"/>
          </w:tcPr>
          <w:p w14:paraId="64A00F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被子</w:t>
            </w:r>
          </w:p>
        </w:tc>
        <w:tc>
          <w:tcPr>
            <w:tcW w:w="1710" w:type="dxa"/>
            <w:vAlign w:val="center"/>
          </w:tcPr>
          <w:p w14:paraId="032797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480</w:t>
            </w:r>
          </w:p>
        </w:tc>
        <w:tc>
          <w:tcPr>
            <w:tcW w:w="3960" w:type="dxa"/>
            <w:vAlign w:val="center"/>
          </w:tcPr>
          <w:p w14:paraId="58818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73D9E5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2B9197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地下车库19号</w:t>
            </w:r>
          </w:p>
        </w:tc>
        <w:tc>
          <w:tcPr>
            <w:tcW w:w="1983" w:type="dxa"/>
            <w:vAlign w:val="center"/>
          </w:tcPr>
          <w:p w14:paraId="28CBD4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1A48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CB8B5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51</w:t>
            </w:r>
          </w:p>
        </w:tc>
        <w:tc>
          <w:tcPr>
            <w:tcW w:w="1793" w:type="dxa"/>
            <w:vAlign w:val="center"/>
          </w:tcPr>
          <w:p w14:paraId="1465B9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褥子</w:t>
            </w:r>
          </w:p>
        </w:tc>
        <w:tc>
          <w:tcPr>
            <w:tcW w:w="1710" w:type="dxa"/>
            <w:vAlign w:val="center"/>
          </w:tcPr>
          <w:p w14:paraId="076916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480</w:t>
            </w:r>
          </w:p>
        </w:tc>
        <w:tc>
          <w:tcPr>
            <w:tcW w:w="3960" w:type="dxa"/>
            <w:vAlign w:val="center"/>
          </w:tcPr>
          <w:p w14:paraId="2EEA46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C439C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防疫</w:t>
            </w:r>
          </w:p>
        </w:tc>
        <w:tc>
          <w:tcPr>
            <w:tcW w:w="1632" w:type="dxa"/>
            <w:vAlign w:val="center"/>
          </w:tcPr>
          <w:p w14:paraId="28D9B7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地下车库19号</w:t>
            </w:r>
          </w:p>
        </w:tc>
        <w:tc>
          <w:tcPr>
            <w:tcW w:w="1983" w:type="dxa"/>
            <w:vAlign w:val="center"/>
          </w:tcPr>
          <w:p w14:paraId="366244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11.4疫情期间</w:t>
            </w:r>
          </w:p>
        </w:tc>
      </w:tr>
      <w:tr w14:paraId="0353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2" w:type="dxa"/>
            <w:vAlign w:val="center"/>
          </w:tcPr>
          <w:p w14:paraId="66EE6F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52</w:t>
            </w:r>
          </w:p>
        </w:tc>
        <w:tc>
          <w:tcPr>
            <w:tcW w:w="1793" w:type="dxa"/>
            <w:vAlign w:val="center"/>
          </w:tcPr>
          <w:p w14:paraId="5AC0F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阻燃服装</w:t>
            </w:r>
          </w:p>
        </w:tc>
        <w:tc>
          <w:tcPr>
            <w:tcW w:w="1710" w:type="dxa"/>
            <w:vAlign w:val="center"/>
          </w:tcPr>
          <w:p w14:paraId="158B06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71E07F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23F7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4DC768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7E33DC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E1E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2" w:type="dxa"/>
            <w:vAlign w:val="center"/>
          </w:tcPr>
          <w:p w14:paraId="30456E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53</w:t>
            </w:r>
          </w:p>
        </w:tc>
        <w:tc>
          <w:tcPr>
            <w:tcW w:w="1793" w:type="dxa"/>
            <w:vAlign w:val="center"/>
          </w:tcPr>
          <w:p w14:paraId="7B5243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阻燃手套</w:t>
            </w:r>
          </w:p>
        </w:tc>
        <w:tc>
          <w:tcPr>
            <w:tcW w:w="1710" w:type="dxa"/>
            <w:vAlign w:val="center"/>
          </w:tcPr>
          <w:p w14:paraId="07651C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726C11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6B1DD6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145FBA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2C7E2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869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E61E0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54</w:t>
            </w:r>
          </w:p>
        </w:tc>
        <w:tc>
          <w:tcPr>
            <w:tcW w:w="1793" w:type="dxa"/>
            <w:vAlign w:val="center"/>
          </w:tcPr>
          <w:p w14:paraId="35BB75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灭火头套</w:t>
            </w:r>
          </w:p>
        </w:tc>
        <w:tc>
          <w:tcPr>
            <w:tcW w:w="1710" w:type="dxa"/>
            <w:vAlign w:val="center"/>
          </w:tcPr>
          <w:p w14:paraId="66DC78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7F0327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4B121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26DEF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5EC4C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1A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F4589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55</w:t>
            </w:r>
          </w:p>
        </w:tc>
        <w:tc>
          <w:tcPr>
            <w:tcW w:w="1793" w:type="dxa"/>
            <w:vAlign w:val="center"/>
          </w:tcPr>
          <w:p w14:paraId="24DBD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阻燃腰带</w:t>
            </w:r>
          </w:p>
        </w:tc>
        <w:tc>
          <w:tcPr>
            <w:tcW w:w="1710" w:type="dxa"/>
            <w:vAlign w:val="center"/>
          </w:tcPr>
          <w:p w14:paraId="181557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0998FF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7B560B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5CE63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4C92C2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13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086CE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56</w:t>
            </w:r>
          </w:p>
        </w:tc>
        <w:tc>
          <w:tcPr>
            <w:tcW w:w="1793" w:type="dxa"/>
            <w:vAlign w:val="center"/>
          </w:tcPr>
          <w:p w14:paraId="506B08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阻燃帽子</w:t>
            </w:r>
          </w:p>
        </w:tc>
        <w:tc>
          <w:tcPr>
            <w:tcW w:w="1710" w:type="dxa"/>
            <w:vAlign w:val="center"/>
          </w:tcPr>
          <w:p w14:paraId="679EA9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646EE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D6CBF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60EC17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053114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F9B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97265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57</w:t>
            </w:r>
          </w:p>
        </w:tc>
        <w:tc>
          <w:tcPr>
            <w:tcW w:w="1793" w:type="dxa"/>
            <w:vAlign w:val="center"/>
          </w:tcPr>
          <w:p w14:paraId="2F7ED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救生圈</w:t>
            </w:r>
          </w:p>
        </w:tc>
        <w:tc>
          <w:tcPr>
            <w:tcW w:w="1710" w:type="dxa"/>
            <w:vAlign w:val="center"/>
          </w:tcPr>
          <w:p w14:paraId="3432C8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15</w:t>
            </w:r>
          </w:p>
        </w:tc>
        <w:tc>
          <w:tcPr>
            <w:tcW w:w="3960" w:type="dxa"/>
            <w:vAlign w:val="center"/>
          </w:tcPr>
          <w:p w14:paraId="3E8321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0C0E4C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317D2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大厅</w:t>
            </w:r>
          </w:p>
        </w:tc>
        <w:tc>
          <w:tcPr>
            <w:tcW w:w="1983" w:type="dxa"/>
            <w:vAlign w:val="center"/>
          </w:tcPr>
          <w:p w14:paraId="089D5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7D1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D496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58</w:t>
            </w:r>
          </w:p>
        </w:tc>
        <w:tc>
          <w:tcPr>
            <w:tcW w:w="1793" w:type="dxa"/>
            <w:vAlign w:val="center"/>
          </w:tcPr>
          <w:p w14:paraId="6AF02C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雨衣</w:t>
            </w:r>
          </w:p>
        </w:tc>
        <w:tc>
          <w:tcPr>
            <w:tcW w:w="1710" w:type="dxa"/>
            <w:vAlign w:val="center"/>
          </w:tcPr>
          <w:p w14:paraId="330154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w:t>
            </w:r>
          </w:p>
        </w:tc>
        <w:tc>
          <w:tcPr>
            <w:tcW w:w="3960" w:type="dxa"/>
            <w:vAlign w:val="center"/>
          </w:tcPr>
          <w:p w14:paraId="4F42C3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黑色防雨服</w:t>
            </w:r>
          </w:p>
        </w:tc>
        <w:tc>
          <w:tcPr>
            <w:tcW w:w="1740" w:type="dxa"/>
            <w:vAlign w:val="center"/>
          </w:tcPr>
          <w:p w14:paraId="497652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6313C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39107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DA9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2FA15E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59</w:t>
            </w:r>
          </w:p>
        </w:tc>
        <w:tc>
          <w:tcPr>
            <w:tcW w:w="1793" w:type="dxa"/>
            <w:vAlign w:val="center"/>
          </w:tcPr>
          <w:p w14:paraId="1453D1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救生服</w:t>
            </w:r>
          </w:p>
        </w:tc>
        <w:tc>
          <w:tcPr>
            <w:tcW w:w="1710" w:type="dxa"/>
            <w:vAlign w:val="center"/>
          </w:tcPr>
          <w:p w14:paraId="1BB79F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30</w:t>
            </w:r>
          </w:p>
        </w:tc>
        <w:tc>
          <w:tcPr>
            <w:tcW w:w="3960" w:type="dxa"/>
            <w:vAlign w:val="center"/>
          </w:tcPr>
          <w:p w14:paraId="779F9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一袋两件</w:t>
            </w:r>
          </w:p>
        </w:tc>
        <w:tc>
          <w:tcPr>
            <w:tcW w:w="1740" w:type="dxa"/>
            <w:vAlign w:val="center"/>
          </w:tcPr>
          <w:p w14:paraId="18F7E9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AB6B0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2BDDE3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4C88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1642D9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60</w:t>
            </w:r>
          </w:p>
        </w:tc>
        <w:tc>
          <w:tcPr>
            <w:tcW w:w="1793" w:type="dxa"/>
            <w:vAlign w:val="center"/>
          </w:tcPr>
          <w:p w14:paraId="79E155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水带背包</w:t>
            </w:r>
          </w:p>
        </w:tc>
        <w:tc>
          <w:tcPr>
            <w:tcW w:w="1710" w:type="dxa"/>
            <w:vAlign w:val="center"/>
          </w:tcPr>
          <w:p w14:paraId="42250E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w:t>
            </w:r>
          </w:p>
        </w:tc>
        <w:tc>
          <w:tcPr>
            <w:tcW w:w="3960" w:type="dxa"/>
            <w:vAlign w:val="center"/>
          </w:tcPr>
          <w:p w14:paraId="5B875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193AC8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0791F1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4253E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8D9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ADF8A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61</w:t>
            </w:r>
          </w:p>
        </w:tc>
        <w:tc>
          <w:tcPr>
            <w:tcW w:w="1793" w:type="dxa"/>
            <w:vAlign w:val="center"/>
          </w:tcPr>
          <w:p w14:paraId="58E9D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手持式锂电清洗机（水枪）</w:t>
            </w:r>
          </w:p>
        </w:tc>
        <w:tc>
          <w:tcPr>
            <w:tcW w:w="1710" w:type="dxa"/>
            <w:vAlign w:val="center"/>
          </w:tcPr>
          <w:p w14:paraId="75ECF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20</w:t>
            </w:r>
          </w:p>
        </w:tc>
        <w:tc>
          <w:tcPr>
            <w:tcW w:w="3960" w:type="dxa"/>
            <w:vAlign w:val="center"/>
          </w:tcPr>
          <w:p w14:paraId="0D9F06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BC410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647760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3B3B61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49E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8BB93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62</w:t>
            </w:r>
          </w:p>
        </w:tc>
        <w:tc>
          <w:tcPr>
            <w:tcW w:w="1793" w:type="dxa"/>
            <w:vAlign w:val="center"/>
          </w:tcPr>
          <w:p w14:paraId="191044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直流喷雾水枪（头）</w:t>
            </w:r>
          </w:p>
        </w:tc>
        <w:tc>
          <w:tcPr>
            <w:tcW w:w="1710" w:type="dxa"/>
            <w:vAlign w:val="center"/>
          </w:tcPr>
          <w:p w14:paraId="62721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w:t>
            </w:r>
          </w:p>
        </w:tc>
        <w:tc>
          <w:tcPr>
            <w:tcW w:w="3960" w:type="dxa"/>
            <w:vAlign w:val="center"/>
          </w:tcPr>
          <w:p w14:paraId="64380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3C72AD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0B7314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7A9DCA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F1B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364A5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63</w:t>
            </w:r>
          </w:p>
        </w:tc>
        <w:tc>
          <w:tcPr>
            <w:tcW w:w="1793" w:type="dxa"/>
            <w:vAlign w:val="center"/>
          </w:tcPr>
          <w:p w14:paraId="2F872C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防火靴</w:t>
            </w:r>
          </w:p>
        </w:tc>
        <w:tc>
          <w:tcPr>
            <w:tcW w:w="1710" w:type="dxa"/>
            <w:vAlign w:val="center"/>
          </w:tcPr>
          <w:p w14:paraId="57FC10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42</w:t>
            </w:r>
          </w:p>
        </w:tc>
        <w:tc>
          <w:tcPr>
            <w:tcW w:w="3960" w:type="dxa"/>
            <w:vAlign w:val="center"/>
          </w:tcPr>
          <w:p w14:paraId="2729CF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5FD9E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防火</w:t>
            </w:r>
          </w:p>
        </w:tc>
        <w:tc>
          <w:tcPr>
            <w:tcW w:w="1632" w:type="dxa"/>
            <w:vAlign w:val="center"/>
          </w:tcPr>
          <w:p w14:paraId="7D54C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w:t>
            </w:r>
          </w:p>
        </w:tc>
        <w:tc>
          <w:tcPr>
            <w:tcW w:w="1983" w:type="dxa"/>
            <w:vAlign w:val="center"/>
          </w:tcPr>
          <w:p w14:paraId="1276D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3D88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F69F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64</w:t>
            </w:r>
          </w:p>
        </w:tc>
        <w:tc>
          <w:tcPr>
            <w:tcW w:w="1793" w:type="dxa"/>
            <w:vAlign w:val="center"/>
          </w:tcPr>
          <w:p w14:paraId="557FD4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水泵</w:t>
            </w:r>
          </w:p>
        </w:tc>
        <w:tc>
          <w:tcPr>
            <w:tcW w:w="1710" w:type="dxa"/>
            <w:vAlign w:val="center"/>
          </w:tcPr>
          <w:p w14:paraId="34945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1台</w:t>
            </w:r>
          </w:p>
        </w:tc>
        <w:tc>
          <w:tcPr>
            <w:tcW w:w="3960" w:type="dxa"/>
            <w:vAlign w:val="center"/>
          </w:tcPr>
          <w:p w14:paraId="60B112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KD160/10</w:t>
            </w:r>
          </w:p>
        </w:tc>
        <w:tc>
          <w:tcPr>
            <w:tcW w:w="1740" w:type="dxa"/>
            <w:vAlign w:val="center"/>
          </w:tcPr>
          <w:p w14:paraId="4A23BD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AE7C4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3C5D46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0331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00F612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65</w:t>
            </w:r>
          </w:p>
        </w:tc>
        <w:tc>
          <w:tcPr>
            <w:tcW w:w="1793" w:type="dxa"/>
            <w:vAlign w:val="center"/>
          </w:tcPr>
          <w:p w14:paraId="2AA83E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移动水池</w:t>
            </w:r>
          </w:p>
        </w:tc>
        <w:tc>
          <w:tcPr>
            <w:tcW w:w="1710" w:type="dxa"/>
            <w:vAlign w:val="center"/>
          </w:tcPr>
          <w:p w14:paraId="679DB3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2个</w:t>
            </w:r>
          </w:p>
        </w:tc>
        <w:tc>
          <w:tcPr>
            <w:tcW w:w="3960" w:type="dxa"/>
            <w:vAlign w:val="center"/>
          </w:tcPr>
          <w:p w14:paraId="25219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3吨</w:t>
            </w:r>
          </w:p>
        </w:tc>
        <w:tc>
          <w:tcPr>
            <w:tcW w:w="1740" w:type="dxa"/>
            <w:vAlign w:val="center"/>
          </w:tcPr>
          <w:p w14:paraId="012BCE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03F12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131FC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11CE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0D062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66</w:t>
            </w:r>
          </w:p>
        </w:tc>
        <w:tc>
          <w:tcPr>
            <w:tcW w:w="1793" w:type="dxa"/>
            <w:vAlign w:val="center"/>
          </w:tcPr>
          <w:p w14:paraId="697655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移动水池</w:t>
            </w:r>
          </w:p>
        </w:tc>
        <w:tc>
          <w:tcPr>
            <w:tcW w:w="1710" w:type="dxa"/>
            <w:vAlign w:val="center"/>
          </w:tcPr>
          <w:p w14:paraId="56C30B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2个</w:t>
            </w:r>
          </w:p>
        </w:tc>
        <w:tc>
          <w:tcPr>
            <w:tcW w:w="3960" w:type="dxa"/>
            <w:vAlign w:val="center"/>
          </w:tcPr>
          <w:p w14:paraId="1BF3BD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2吨</w:t>
            </w:r>
          </w:p>
        </w:tc>
        <w:tc>
          <w:tcPr>
            <w:tcW w:w="1740" w:type="dxa"/>
            <w:vAlign w:val="center"/>
          </w:tcPr>
          <w:p w14:paraId="36C3FB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6DC48A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1</w:t>
            </w:r>
          </w:p>
        </w:tc>
        <w:tc>
          <w:tcPr>
            <w:tcW w:w="1983" w:type="dxa"/>
            <w:vAlign w:val="center"/>
          </w:tcPr>
          <w:p w14:paraId="3A96D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03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26D3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67</w:t>
            </w:r>
          </w:p>
        </w:tc>
        <w:tc>
          <w:tcPr>
            <w:tcW w:w="1793" w:type="dxa"/>
            <w:vAlign w:val="center"/>
          </w:tcPr>
          <w:p w14:paraId="0E8479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水带</w:t>
            </w:r>
          </w:p>
        </w:tc>
        <w:tc>
          <w:tcPr>
            <w:tcW w:w="1710" w:type="dxa"/>
            <w:vAlign w:val="center"/>
          </w:tcPr>
          <w:p w14:paraId="345BD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50盘</w:t>
            </w:r>
          </w:p>
        </w:tc>
        <w:tc>
          <w:tcPr>
            <w:tcW w:w="3960" w:type="dxa"/>
            <w:vAlign w:val="center"/>
          </w:tcPr>
          <w:p w14:paraId="3E386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盘\30米</w:t>
            </w:r>
          </w:p>
        </w:tc>
        <w:tc>
          <w:tcPr>
            <w:tcW w:w="1740" w:type="dxa"/>
            <w:vAlign w:val="center"/>
          </w:tcPr>
          <w:p w14:paraId="416A22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691F41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1983" w:type="dxa"/>
            <w:vAlign w:val="center"/>
          </w:tcPr>
          <w:p w14:paraId="24742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5C4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4E1913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68</w:t>
            </w:r>
          </w:p>
        </w:tc>
        <w:tc>
          <w:tcPr>
            <w:tcW w:w="1793" w:type="dxa"/>
            <w:vAlign w:val="center"/>
          </w:tcPr>
          <w:p w14:paraId="58C619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水桶</w:t>
            </w:r>
          </w:p>
        </w:tc>
        <w:tc>
          <w:tcPr>
            <w:tcW w:w="1710" w:type="dxa"/>
            <w:vAlign w:val="center"/>
          </w:tcPr>
          <w:p w14:paraId="5AB7B9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40</w:t>
            </w:r>
          </w:p>
        </w:tc>
        <w:tc>
          <w:tcPr>
            <w:tcW w:w="3960" w:type="dxa"/>
            <w:vAlign w:val="center"/>
          </w:tcPr>
          <w:p w14:paraId="3BA99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242603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防汛</w:t>
            </w:r>
          </w:p>
        </w:tc>
        <w:tc>
          <w:tcPr>
            <w:tcW w:w="1632" w:type="dxa"/>
            <w:vAlign w:val="center"/>
          </w:tcPr>
          <w:p w14:paraId="2A62D4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44320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6515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8B956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69</w:t>
            </w:r>
          </w:p>
        </w:tc>
        <w:tc>
          <w:tcPr>
            <w:tcW w:w="1793" w:type="dxa"/>
            <w:vAlign w:val="center"/>
          </w:tcPr>
          <w:p w14:paraId="38B7BA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防爆LED工作灯双头</w:t>
            </w:r>
          </w:p>
        </w:tc>
        <w:tc>
          <w:tcPr>
            <w:tcW w:w="1710" w:type="dxa"/>
            <w:vAlign w:val="center"/>
          </w:tcPr>
          <w:p w14:paraId="4E43A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3960" w:type="dxa"/>
            <w:vAlign w:val="center"/>
          </w:tcPr>
          <w:p w14:paraId="526FFC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0EB3FD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5B539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办公室三楼</w:t>
            </w:r>
          </w:p>
        </w:tc>
        <w:tc>
          <w:tcPr>
            <w:tcW w:w="1983" w:type="dxa"/>
            <w:vAlign w:val="center"/>
          </w:tcPr>
          <w:p w14:paraId="332AC8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691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5E5D2F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70</w:t>
            </w:r>
          </w:p>
        </w:tc>
        <w:tc>
          <w:tcPr>
            <w:tcW w:w="1793" w:type="dxa"/>
            <w:vAlign w:val="center"/>
          </w:tcPr>
          <w:p w14:paraId="28C49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防爆LED工作灯单头</w:t>
            </w:r>
          </w:p>
        </w:tc>
        <w:tc>
          <w:tcPr>
            <w:tcW w:w="1710" w:type="dxa"/>
            <w:vAlign w:val="center"/>
          </w:tcPr>
          <w:p w14:paraId="4BDAF5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3960" w:type="dxa"/>
            <w:vAlign w:val="center"/>
          </w:tcPr>
          <w:p w14:paraId="28EB6B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295F4F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5DE9A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办公室三楼</w:t>
            </w:r>
          </w:p>
        </w:tc>
        <w:tc>
          <w:tcPr>
            <w:tcW w:w="1983" w:type="dxa"/>
            <w:vAlign w:val="center"/>
          </w:tcPr>
          <w:p w14:paraId="726962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7EC9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3CA1D1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71</w:t>
            </w:r>
          </w:p>
        </w:tc>
        <w:tc>
          <w:tcPr>
            <w:tcW w:w="1793" w:type="dxa"/>
            <w:vAlign w:val="center"/>
          </w:tcPr>
          <w:p w14:paraId="16EE52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强光电筒</w:t>
            </w:r>
          </w:p>
        </w:tc>
        <w:tc>
          <w:tcPr>
            <w:tcW w:w="1710" w:type="dxa"/>
            <w:vAlign w:val="center"/>
          </w:tcPr>
          <w:p w14:paraId="323031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w:t>
            </w:r>
          </w:p>
        </w:tc>
        <w:tc>
          <w:tcPr>
            <w:tcW w:w="3960" w:type="dxa"/>
            <w:vAlign w:val="center"/>
          </w:tcPr>
          <w:p w14:paraId="51E184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740" w:type="dxa"/>
            <w:vAlign w:val="center"/>
          </w:tcPr>
          <w:p w14:paraId="4BE218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应急</w:t>
            </w:r>
          </w:p>
        </w:tc>
        <w:tc>
          <w:tcPr>
            <w:tcW w:w="1632" w:type="dxa"/>
            <w:vAlign w:val="center"/>
          </w:tcPr>
          <w:p w14:paraId="11C292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办公室三楼</w:t>
            </w:r>
          </w:p>
        </w:tc>
        <w:tc>
          <w:tcPr>
            <w:tcW w:w="1983" w:type="dxa"/>
            <w:vAlign w:val="center"/>
          </w:tcPr>
          <w:p w14:paraId="21AAA0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r w14:paraId="228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2" w:type="dxa"/>
            <w:vAlign w:val="center"/>
          </w:tcPr>
          <w:p w14:paraId="61CEB7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72</w:t>
            </w:r>
          </w:p>
        </w:tc>
        <w:tc>
          <w:tcPr>
            <w:tcW w:w="1793" w:type="dxa"/>
            <w:vAlign w:val="center"/>
          </w:tcPr>
          <w:p w14:paraId="29371A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水卡</w:t>
            </w:r>
          </w:p>
        </w:tc>
        <w:tc>
          <w:tcPr>
            <w:tcW w:w="1710" w:type="dxa"/>
            <w:vAlign w:val="center"/>
          </w:tcPr>
          <w:p w14:paraId="078C5D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21</w:t>
            </w:r>
          </w:p>
        </w:tc>
        <w:tc>
          <w:tcPr>
            <w:tcW w:w="3960" w:type="dxa"/>
            <w:vAlign w:val="center"/>
          </w:tcPr>
          <w:p w14:paraId="14CEC6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每个10L</w:t>
            </w:r>
          </w:p>
        </w:tc>
        <w:tc>
          <w:tcPr>
            <w:tcW w:w="1740" w:type="dxa"/>
            <w:vAlign w:val="center"/>
          </w:tcPr>
          <w:p w14:paraId="48D9DE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c>
          <w:tcPr>
            <w:tcW w:w="1632" w:type="dxa"/>
            <w:vAlign w:val="center"/>
          </w:tcPr>
          <w:p w14:paraId="58355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default" w:ascii="仿宋" w:hAnsi="仿宋" w:eastAsia="仿宋" w:cs="仿宋"/>
                <w:snapToGrid w:val="0"/>
                <w:color w:val="000000"/>
                <w:spacing w:val="9"/>
                <w:kern w:val="0"/>
                <w:sz w:val="24"/>
                <w:szCs w:val="24"/>
                <w:lang w:val="en-US" w:eastAsia="zh-CN" w:bidi="ar-SA"/>
              </w:rPr>
            </w:pPr>
            <w:r>
              <w:rPr>
                <w:rFonts w:hint="eastAsia" w:ascii="仿宋" w:hAnsi="仿宋" w:eastAsia="仿宋" w:cs="仿宋"/>
                <w:snapToGrid w:val="0"/>
                <w:color w:val="000000"/>
                <w:spacing w:val="9"/>
                <w:kern w:val="0"/>
                <w:sz w:val="24"/>
                <w:szCs w:val="24"/>
                <w:lang w:val="en-US" w:eastAsia="zh-CN" w:bidi="ar-SA"/>
              </w:rPr>
              <w:t>4</w:t>
            </w:r>
          </w:p>
        </w:tc>
        <w:tc>
          <w:tcPr>
            <w:tcW w:w="1983" w:type="dxa"/>
            <w:vAlign w:val="center"/>
          </w:tcPr>
          <w:p w14:paraId="691382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snapToGrid w:val="0"/>
                <w:color w:val="000000"/>
                <w:spacing w:val="9"/>
                <w:kern w:val="0"/>
                <w:sz w:val="24"/>
                <w:szCs w:val="24"/>
                <w:lang w:val="en-US" w:eastAsia="zh-CN" w:bidi="ar-SA"/>
              </w:rPr>
            </w:pPr>
          </w:p>
        </w:tc>
      </w:tr>
    </w:tbl>
    <w:p w14:paraId="0E871DEA">
      <w:pPr>
        <w:pStyle w:val="7"/>
        <w:keepNext w:val="0"/>
        <w:keepLines w:val="0"/>
        <w:pageBreakBefore w:val="0"/>
        <w:widowControl w:val="0"/>
        <w:shd w:val="clear"/>
        <w:kinsoku/>
        <w:wordWrap/>
        <w:overflowPunct/>
        <w:topLinePunct w:val="0"/>
        <w:autoSpaceDE/>
        <w:autoSpaceDN/>
        <w:bidi w:val="0"/>
        <w:adjustRightInd/>
        <w:snapToGrid/>
        <w:spacing w:line="20" w:lineRule="exact"/>
        <w:textAlignment w:val="auto"/>
        <w:rPr>
          <w:rFonts w:hint="eastAsia"/>
          <w:color w:val="auto"/>
          <w:spacing w:val="-10"/>
          <w:sz w:val="28"/>
          <w:szCs w:val="28"/>
          <w:lang w:val="en-US" w:eastAsia="zh-CN"/>
        </w:rPr>
      </w:pPr>
    </w:p>
    <w:sectPr>
      <w:footerReference r:id="rId11" w:type="default"/>
      <w:pgSz w:w="16838" w:h="11906" w:orient="landscape"/>
      <w:pgMar w:top="1009" w:right="1536" w:bottom="1304" w:left="127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D21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800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A86B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CA86B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5B5B">
    <w:pPr>
      <w:spacing w:line="177" w:lineRule="auto"/>
      <w:ind w:left="12902"/>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1DB81">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BC1DB81">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F3E2">
    <w:pPr>
      <w:spacing w:before="1" w:line="176" w:lineRule="auto"/>
      <w:ind w:left="1290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DD1F2">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3ADD1F2">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DF0D">
    <w:pPr>
      <w:spacing w:before="1" w:line="176" w:lineRule="auto"/>
      <w:ind w:left="283"/>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8B17A">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158B17A">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5018">
    <w:pPr>
      <w:spacing w:before="1" w:line="176" w:lineRule="auto"/>
      <w:ind w:left="12902"/>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63843">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A763843">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4096">
    <w:pPr>
      <w:spacing w:before="1" w:line="176" w:lineRule="auto"/>
      <w:ind w:left="283"/>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D048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2AD048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A58D">
    <w:pPr>
      <w:spacing w:before="1" w:line="176" w:lineRule="auto"/>
      <w:jc w:val="right"/>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348F1">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5C348F1">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D7C3">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F47A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E3F47A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WIyNDk4ZmE5YTliOGIyYTg0NDIwZTExN2RiYTMifQ=="/>
  </w:docVars>
  <w:rsids>
    <w:rsidRoot w:val="23761729"/>
    <w:rsid w:val="00281002"/>
    <w:rsid w:val="0CC25F19"/>
    <w:rsid w:val="169F214C"/>
    <w:rsid w:val="16A87192"/>
    <w:rsid w:val="1E262080"/>
    <w:rsid w:val="202126C2"/>
    <w:rsid w:val="23761729"/>
    <w:rsid w:val="25C8527E"/>
    <w:rsid w:val="26423D2F"/>
    <w:rsid w:val="2968447B"/>
    <w:rsid w:val="2CEC1AF2"/>
    <w:rsid w:val="2D0554D9"/>
    <w:rsid w:val="2D641F70"/>
    <w:rsid w:val="2DBF52E6"/>
    <w:rsid w:val="2F3FDD06"/>
    <w:rsid w:val="2FF6135D"/>
    <w:rsid w:val="30774E1B"/>
    <w:rsid w:val="30BE3E13"/>
    <w:rsid w:val="334A4B2F"/>
    <w:rsid w:val="36415851"/>
    <w:rsid w:val="36877708"/>
    <w:rsid w:val="38C354A1"/>
    <w:rsid w:val="3A294BAE"/>
    <w:rsid w:val="3A6B600E"/>
    <w:rsid w:val="3AFE7B82"/>
    <w:rsid w:val="4003758C"/>
    <w:rsid w:val="41465763"/>
    <w:rsid w:val="4B395878"/>
    <w:rsid w:val="4C1D26B8"/>
    <w:rsid w:val="4E5263F6"/>
    <w:rsid w:val="591E5852"/>
    <w:rsid w:val="59402303"/>
    <w:rsid w:val="5A0502E3"/>
    <w:rsid w:val="5BF3D437"/>
    <w:rsid w:val="5D872E57"/>
    <w:rsid w:val="5DCB4CCC"/>
    <w:rsid w:val="5E1422A2"/>
    <w:rsid w:val="5FAE5456"/>
    <w:rsid w:val="61EE1044"/>
    <w:rsid w:val="63F21DB5"/>
    <w:rsid w:val="642E66E3"/>
    <w:rsid w:val="66A912F9"/>
    <w:rsid w:val="673238B1"/>
    <w:rsid w:val="67FFC5BD"/>
    <w:rsid w:val="69571D62"/>
    <w:rsid w:val="6D9B3CD8"/>
    <w:rsid w:val="6E5C5E49"/>
    <w:rsid w:val="6F9FA6FD"/>
    <w:rsid w:val="718E6C0C"/>
    <w:rsid w:val="72150740"/>
    <w:rsid w:val="744566C0"/>
    <w:rsid w:val="771705E5"/>
    <w:rsid w:val="77FFF3A8"/>
    <w:rsid w:val="7A142C3B"/>
    <w:rsid w:val="7BDFCC2E"/>
    <w:rsid w:val="7C7F8EE6"/>
    <w:rsid w:val="7DFFC01C"/>
    <w:rsid w:val="7E23394D"/>
    <w:rsid w:val="7FFF3ADE"/>
    <w:rsid w:val="89374768"/>
    <w:rsid w:val="CEEB239C"/>
    <w:rsid w:val="E2FF7349"/>
    <w:rsid w:val="E7DCBCE9"/>
    <w:rsid w:val="F1FF3B1B"/>
    <w:rsid w:val="F236E591"/>
    <w:rsid w:val="F59F9829"/>
    <w:rsid w:val="FCD840CE"/>
    <w:rsid w:val="FE8FD890"/>
    <w:rsid w:val="FF6B241D"/>
    <w:rsid w:val="FFF2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2147483648" w:beforeAutospacing="1" w:after="-2147483648" w:afterAutospacing="1"/>
      <w:jc w:val="left"/>
      <w:outlineLvl w:val="0"/>
    </w:pPr>
    <w:rPr>
      <w:rFonts w:hint="eastAsia" w:ascii="宋体" w:hAnsi="宋体" w:eastAsia="黑体" w:cs="宋体"/>
      <w:bCs/>
      <w:kern w:val="44"/>
      <w:sz w:val="32"/>
      <w:szCs w:val="48"/>
      <w:lang w:bidi="ar"/>
    </w:rPr>
  </w:style>
  <w:style w:type="paragraph" w:styleId="6">
    <w:name w:val="heading 2"/>
    <w:basedOn w:val="1"/>
    <w:next w:val="1"/>
    <w:unhideWhenUsed/>
    <w:qFormat/>
    <w:uiPriority w:val="0"/>
    <w:pPr>
      <w:keepNext/>
      <w:keepLines/>
      <w:spacing w:before="20" w:beforeLines="0" w:after="20" w:afterLines="0"/>
      <w:ind w:leftChars="300"/>
      <w:jc w:val="left"/>
      <w:outlineLvl w:val="1"/>
    </w:pPr>
    <w:rPr>
      <w:rFonts w:ascii="Arial" w:hAnsi="Arial" w:eastAsia="楷体_GB2312"/>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11787</Words>
  <Characters>11900</Characters>
  <Lines>0</Lines>
  <Paragraphs>0</Paragraphs>
  <TotalTime>1</TotalTime>
  <ScaleCrop>false</ScaleCrop>
  <LinksUpToDate>false</LinksUpToDate>
  <CharactersWithSpaces>12343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2024-05-30T02:16:00Z</dcterms:created>
  <dc:creator>Administrator</dc:creator>
  <cp:lastModifiedBy>刘萍</cp:lastModifiedBy>
  <dcterms:modified xsi:type="dcterms:W3CDTF">2025-07-18T03:49:52Z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EFAE06C9D24E4C01A1DBC5600943DDA7_13</vt:lpwstr>
  </property>
  <property fmtid="{D5CDD505-2E9C-101B-9397-08002B2CF9AE}" pid="4" name="KSOTemplateDocerSaveRecord">
    <vt:lpwstr>eyJoZGlkIjoiODM2MGQ5OTA4MzQzODIzZGFjMzUzMjljNzgyYTQ3NTMiLCJ1c2VySWQiOiIzNjcyOTAzODIifQ==</vt:lpwstr>
  </property>
</Properties>
</file>