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93855">
      <w:pPr>
        <w:jc w:val="center"/>
        <w:rPr>
          <w:rFonts w:ascii="黑体" w:hAnsi="黑体" w:eastAsia="黑体"/>
          <w:sz w:val="36"/>
          <w:szCs w:val="36"/>
        </w:rPr>
      </w:pPr>
      <w:r>
        <w:rPr>
          <w:rFonts w:hint="eastAsia" w:ascii="黑体" w:hAnsi="黑体" w:eastAsia="黑体"/>
          <w:sz w:val="36"/>
          <w:szCs w:val="36"/>
        </w:rPr>
        <w:t>大同市浑源县卫生健康和体育局</w:t>
      </w:r>
    </w:p>
    <w:p w14:paraId="067529C7">
      <w:pPr>
        <w:jc w:val="center"/>
        <w:rPr>
          <w:rFonts w:ascii="黑体" w:hAnsi="黑体" w:eastAsia="黑体"/>
          <w:sz w:val="36"/>
          <w:szCs w:val="36"/>
        </w:rPr>
      </w:pPr>
      <w:r>
        <w:rPr>
          <w:rFonts w:hint="eastAsia" w:ascii="黑体" w:hAnsi="黑体" w:eastAsia="黑体"/>
          <w:sz w:val="36"/>
          <w:szCs w:val="36"/>
        </w:rPr>
        <w:t>2020年度部门决算公开说明</w:t>
      </w:r>
    </w:p>
    <w:p w14:paraId="1B2253B6">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目录</w:t>
      </w:r>
    </w:p>
    <w:p w14:paraId="3A7ADAF7">
      <w:pPr>
        <w:rPr>
          <w:rFonts w:ascii="仿宋" w:hAnsi="仿宋" w:eastAsia="仿宋" w:cs="仿宋"/>
          <w:b/>
          <w:color w:val="FFFFFF" w:themeColor="background1"/>
          <w:kern w:val="0"/>
          <w:sz w:val="32"/>
          <w:szCs w:val="32"/>
          <w14:textFill>
            <w14:solidFill>
              <w14:schemeClr w14:val="bg1"/>
            </w14:solidFill>
          </w14:textFill>
        </w:rPr>
      </w:pPr>
      <w:r>
        <w:rPr>
          <w:rFonts w:hint="eastAsia" w:ascii="仿宋" w:hAnsi="仿宋" w:eastAsia="仿宋" w:cs="仿宋"/>
          <w:b/>
          <w:color w:val="333333"/>
          <w:kern w:val="0"/>
          <w:sz w:val="32"/>
          <w:szCs w:val="32"/>
        </w:rPr>
        <w:t>第一部分 部门及单位概况</w:t>
      </w:r>
    </w:p>
    <w:p w14:paraId="1E69807A">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一、部门职责</w:t>
      </w:r>
    </w:p>
    <w:p w14:paraId="3055FD9C">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14:paraId="03CE6E9F">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第二部分 2020年度部门决算公开报表</w:t>
      </w:r>
    </w:p>
    <w:p w14:paraId="13F1A183">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表一：GK01 收入支出决算总表(公开01表)</w:t>
      </w:r>
    </w:p>
    <w:p w14:paraId="0C842F53">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表二：GK02 收入决算表(公开02表)</w:t>
      </w:r>
    </w:p>
    <w:p w14:paraId="599AA0D8">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表三：GK03 支出决算表(公开03表)</w:t>
      </w:r>
    </w:p>
    <w:p w14:paraId="34EDAB77">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表四：GK04 财政拨款收入支出决算总表(公开04表)</w:t>
      </w:r>
    </w:p>
    <w:p w14:paraId="5286A2FB">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表五：GK05 一般公共预算财政拨款支出决算表（一）(公开05表)</w:t>
      </w:r>
    </w:p>
    <w:p w14:paraId="2B118CF7">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表六：GK06 一般公共预算财政拨款支出决算表（二）(公开06表)</w:t>
      </w:r>
    </w:p>
    <w:p w14:paraId="796A6C64">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表七：GK07 一般公共预算财政拨款“三公”经费支出决算表(公开07)</w:t>
      </w:r>
    </w:p>
    <w:p w14:paraId="71A996F2">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表八：GK08 政府性基金预算财政拨款收入支出决算表(公开08表)</w:t>
      </w:r>
    </w:p>
    <w:p w14:paraId="233DF742">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表九：GK09 国有资本经营预算财政拨款支出决算表(公开09表)</w:t>
      </w:r>
    </w:p>
    <w:p w14:paraId="7F1E9931">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表十：GK10 部门决算公开相关信息统计表(公开10表)</w:t>
      </w:r>
    </w:p>
    <w:p w14:paraId="0A5CA1CC">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第三部分 2020年度部门决算情况说明</w:t>
      </w:r>
    </w:p>
    <w:p w14:paraId="08C0B9D2">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一、决算收入情况</w:t>
      </w:r>
    </w:p>
    <w:p w14:paraId="61100386">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二、决算支出情况</w:t>
      </w:r>
    </w:p>
    <w:p w14:paraId="7AF9B84F">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14:paraId="3E81ACF5">
      <w:pPr>
        <w:rPr>
          <w:rFonts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14:paraId="66651B78">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14:paraId="1029E5AC">
      <w:pPr>
        <w:rPr>
          <w:rFonts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14:paraId="484B1366">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14:paraId="17166224">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第四部分 部门名词解释</w:t>
      </w:r>
    </w:p>
    <w:p w14:paraId="17B24126">
      <w:pPr>
        <w:rPr>
          <w:rFonts w:ascii="仿宋" w:hAnsi="仿宋" w:eastAsia="仿宋" w:cs="仿宋"/>
          <w:b/>
          <w:color w:val="333333"/>
          <w:kern w:val="0"/>
          <w:sz w:val="32"/>
          <w:szCs w:val="32"/>
        </w:rPr>
      </w:pPr>
    </w:p>
    <w:p w14:paraId="2E3D81E7">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内容</w:t>
      </w:r>
    </w:p>
    <w:p w14:paraId="157B6D25">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第一部分：大同市浑源县卫生健康和体育局概况</w:t>
      </w:r>
    </w:p>
    <w:p w14:paraId="7C9459CE">
      <w:pPr>
        <w:numPr>
          <w:ilvl w:val="0"/>
          <w:numId w:val="1"/>
        </w:num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 xml:space="preserve">部门职责 </w:t>
      </w:r>
    </w:p>
    <w:p w14:paraId="02CECCC4">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贯彻执行党和国家国民健康方针政策，拟订卫生健康事业发展规划和规章草案，负责职责范围内的标准化工作。统筹规划卫生健康资源配置和实施。制定并组织实施推进卫生健康基本公共服务均等化、普惠化、便捷化和公共资源向基层延伸等措施。</w:t>
      </w:r>
    </w:p>
    <w:p w14:paraId="14CF5C25">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协调推进深化医药卫生体制改革，研究提出深化医药卫生体制改革措施的建议。负责分级诊疗制度建设，拟定并组织实施推动卫生健康公共服务提供主体多元化、提供方式多样化的措施，组织深化公立医院综合改革，推进管办分离，健全现代医院管理制度，提出医疗服务和药品价格的建议，协调推进药品供应保障制度建设。组织医疗卫生行业综合监管制度建设。</w:t>
      </w:r>
    </w:p>
    <w:p w14:paraId="662DC58D">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拟定疾病预防控制规划、免疫规划以及严重危害人民健康公共卫生问题的干预措施并组织落实，执行国家检疫传染病和监测传染病目录。负责卫生应急工作，组织指导突发公共卫生事件的预防控制和各类突发公共事件的医疗卫生救援。</w:t>
      </w:r>
    </w:p>
    <w:p w14:paraId="42934EB6">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(四)拟订并协调落实应对人口老龄化措施，负责推进老年健康服务体系建设和医养结合工作。</w:t>
      </w:r>
    </w:p>
    <w:p w14:paraId="655D6635">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(五)贯彻落实国家药物政策和国家基本药物制度，实施基本药物目录，开展药品使用监测、临床综合评价和短缺药品预警。组织开展食品安全风险监测。</w:t>
      </w:r>
    </w:p>
    <w:p w14:paraId="6E0E545D">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六)负责开展职责范围内的职业卫生、放射卫生、环境卫生、学校卫生、公共场所卫生、饮用水卫生相关监测、调查、评估和监督管理，负责传染病防治监督，建立健全卫生健康综合监督体系。负责重要会议与重大活动的医疗卫生保障工作。</w:t>
      </w:r>
    </w:p>
    <w:p w14:paraId="64610273">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七)制定医疗机构、医疗服务行业管理办法并监督实施，建立医疗服务评价和监督管理体系。制定医疗机构及其医疗服务、医疗技术、医疗质量、医疗安全以及采供血机构管理的规范、标准并组织实施，会同有关部门贯彻执行国家卫生健康专业技术人员资格标准，制定和实施卫生健康专业技术人员执业规则和服务规范 。</w:t>
      </w:r>
    </w:p>
    <w:p w14:paraId="41534DEE">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(八)负责计划生育管理和服务工作，开展人口监测预警，研究提出人口与家庭发展相关政策建议。</w:t>
      </w:r>
    </w:p>
    <w:p w14:paraId="5C355019">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(九)负责拟订基层医疗卫生、妇幼健康发展规划和措施，指导基层医疗卫生、妇幼健康服务体系建设和全科医生队伍建设。拟订并组织实施卫生健康科技发展规划，推进卫生健康科技创新发展。</w:t>
      </w:r>
    </w:p>
    <w:p w14:paraId="5E636D53">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(十)负责拟订全县中医药事业发展规划、政策和相关技术标准并组织实施。加强中医药行业监督管理，统筹推进中医药振兴工作。</w:t>
      </w:r>
    </w:p>
    <w:p w14:paraId="07748AB7">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一)负责对医疗集团的管理和监督。审议医疗集团章程、发展规划、重大项目实施、收支预算等。加强行业综合监管，承担医疗集团公益性、医疗质量安全、公共卫生服务、人事监督管理、财务运行、统一规划、综合监督、</w:t>
      </w:r>
      <w:r>
        <w:rPr>
          <w:rFonts w:hint="eastAsia" w:ascii="仿宋" w:hAnsi="仿宋" w:eastAsia="仿宋" w:cs="仿宋"/>
          <w:sz w:val="32"/>
          <w:szCs w:val="32"/>
          <w:lang w:eastAsia="zh-CN"/>
        </w:rPr>
        <w:t>行风</w:t>
      </w:r>
      <w:bookmarkStart w:id="0" w:name="_GoBack"/>
      <w:bookmarkEnd w:id="0"/>
      <w:r>
        <w:rPr>
          <w:rFonts w:hint="eastAsia" w:ascii="仿宋" w:hAnsi="仿宋" w:eastAsia="仿宋" w:cs="仿宋"/>
          <w:sz w:val="32"/>
          <w:szCs w:val="32"/>
        </w:rPr>
        <w:t>建设等监管职责。建立以公益性为导向的考核评价机制，突出职责履行、医疗质量、费用控制、运行绩效、财务管理、人才培养、医德医风和群众满意度等考核指标，加大基层服务能力、基本公共卫生服务、家庭医生签约、健康促进、健康扶贫等体现公益性考核指标权重;强化基本公共卫生服务项目绩效考核，完善考核制度，重点考核组织管理、资金管理、项目执行、项目效果等;定期组织对医疗集团绩效考核、院长年度和任期目标责任考核。考核结果与财政补助、绩效工资总量以及院长薪酬、任免、奖惩等挂钩。制定出台加强医疗集团监管的办法和绩效考核方案。</w:t>
      </w:r>
    </w:p>
    <w:p w14:paraId="2F889D18">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(十二)负责卫生健康宣传、健康教育、健康促进等工作，牵头《烟草控制框架公约》履约有关工作。组织指导卫生健康国际交流合作与援外工作，开展与港澳台的交流与合作。</w:t>
      </w:r>
    </w:p>
    <w:p w14:paraId="18F7F51E">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三)贯彻党和国家关于体育工作的方针、政策和法律法规，以及县委、县政府有关体育工作的决定，组织研究和拟定全县体育工作的发展规划，并组织实施;协调推动多元化体育服务体系建设，编制体育事业发展规划，推进全县体育公共服务和体育体制改革。负责对全县体育安全、市场经营的监督管理工作。维护各类体育市场秩序，负责对外体育交流工作</w:t>
      </w:r>
    </w:p>
    <w:p w14:paraId="04E9544B">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(十四)负责推行全民健身计划，指导开展群众性体育活动。组织实施国家体育锻炼标准，开展国民体质监测，指导公共体育设施的建设，负责对公共体育设施的监督管理。</w:t>
      </w:r>
    </w:p>
    <w:p w14:paraId="224313A7">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五)统筹规划全县竞技体育发展和运动项目设置与重点布局。指导协调体育训练和竞赛，研究和指导优秀运动队伍的建设、青少年体育以及后备人才培养工作。协同有关部门规划、协调体育场馆(地)和设施的建设及布局。</w:t>
      </w:r>
    </w:p>
    <w:p w14:paraId="24F04D79">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(十六)组织和指导体育宣传和体育领域重大科技研究 - 5的攻关和成果推广。制定体育教育规划，发展体育教育。组织开展体育运动中的反兴奋剂工作。负责代表县组团参加各类体育竞赛。指导体育总会、各单项运动协会等社会团体的工作;负责全县性体育社团的资格审查。</w:t>
      </w:r>
    </w:p>
    <w:p w14:paraId="12D39419">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(十七)承担县爱国卫生运动委员会、县老龄工作委员会、县防治艾滋病工作委员会、县深化医药卫生体制改革领导小组、县地方病防治领导小组的日常工作，指导县计划生育协会的业务工作。</w:t>
      </w:r>
    </w:p>
    <w:p w14:paraId="277B3D0F">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(十八)完成县委、县人民政府交办的其他任务。</w:t>
      </w:r>
    </w:p>
    <w:p w14:paraId="389249A6">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十九)职能转变。县卫生健康和体育局应当牢固树立大卫生、大健康理念，推动实施健康浑源战略，以改革创新为动力，以促健康、转模式、强基层、重保障为着力点，以增强人民群众健康获得感为目标，把以治病为中心转变为以人民健康为中心，为人民群众提供全方位全周期健康服务。一是更加注重预防为主和健康促进，加强重大疾病预防控制工作，推动落实严重危害人民群众健康的传染病、慢性病、地方病等疾病的综合防治措施，提高医疗卫生服务质量和水平，推进卫生健康基本公共服务均等化、普惠化、便捷化。二是更加注重工作重心下移、资源下沉，强化基层服务网络功能，推进卫生健康公共资源向基层延伸、向农村覆盖、向贫困村和生活困难群众倾斜。三是协调推进深化医药卫生体制改革，加大公立医院综合改革力度，推进管办分离，创新和转变监管方式，构建协同顺畅、信息共享的监管机制，推动卫生健康公共服务提供主体多元化、提供方式多样化。四是更加注重老年健康和体育事业，积极应对人口老龄化，健全健康服务体系。五是要减少、下放具体的行政审批事项，加强事中事后监管和服务。加快社会体育和青少年体育事业的发展。</w:t>
      </w:r>
    </w:p>
    <w:p w14:paraId="7BEC0E3D">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(二十)有关职责分工。</w:t>
      </w:r>
    </w:p>
    <w:p w14:paraId="08B3E9A8">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1、与县发展和改革局的有关职责分工</w:t>
      </w:r>
    </w:p>
    <w:p w14:paraId="78BC5062">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县卫生健康和体育局负责开展全县人口监测预警工作，拟订生育政策，研究提出与生育相关的人口数量、素质、结构、分布方面的政策建议，促进生育政策和相关经济社会政策配套街接，参与制定人口发展规划和政策，落实国家人口发展规划中的有关任务。</w:t>
      </w:r>
    </w:p>
    <w:p w14:paraId="0F19AA00">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县发展和改革局负责组织监测和评估人口变动情况及趋势影响，建立人口预测预报制度，开展重大决策人口影响评估，完善重大人口政策咨询机制，研究提出全县人口发展战略，拟订人口发展规划和人口政策，研究提出人口与经济、社会、资源、环境协调可持续发展，以及统筹促进人口长期均衡发展的政策建议。</w:t>
      </w:r>
    </w:p>
    <w:p w14:paraId="528984E6">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2、与县民政局的有关职责分工</w:t>
      </w:r>
    </w:p>
    <w:p w14:paraId="4D04FD7A">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(1)县卫生健康和体育局负责拟订应对人口老龄化、医养结合政策措施，综合协调、督促指导、组织推进老龄事业发展，承担老年疾病防治、老年人医疗照护、老年人心理健康与关怀服务等老年健康工作</w:t>
      </w:r>
    </w:p>
    <w:p w14:paraId="2A82E158">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(2)县民政局负责统筹推进、督促指导、监督管理养老服务工作，拟订养老服务体系建设规划并组织实施，承担老年人福利和特殊困难老年人救助工作。</w:t>
      </w:r>
    </w:p>
    <w:p w14:paraId="0383AC15">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3、与县市场监督管理局的有关职责分工。</w:t>
      </w:r>
    </w:p>
    <w:p w14:paraId="67C7498B">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县卫生健康和体育局负责开展食品安全风险监测，会同县市场监督管理局等部门制定、实施食品安全风险监测方案。对通过食品安全风险监测或接到举报发现食品可能存在安全隐患的，应当及时将相关信息通报县市场监督管理局等部门，县市场监督管理局等部门应当立即采取措施。</w:t>
      </w:r>
    </w:p>
    <w:p w14:paraId="3ECCE37C">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(2)县市场监督管理局等部门在监督管理工作中会同县卫生健康和体育局建立食品安全风险、重大药品不良反应和医疗器械不良事件相互通报机制和联合处置机制。</w:t>
      </w:r>
    </w:p>
    <w:p w14:paraId="45E08D6A">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4、与县医疗保障局的有关职责分工。县卫生健康和体育局、县医疗保障局等部门在医疗、医保、医药等方面加强制度、政策衔接，建立沟通协商机制，协同推进改革，提高医疗资源使用效率和医疗保障水平。</w:t>
      </w:r>
    </w:p>
    <w:p w14:paraId="298BE44C">
      <w:pPr>
        <w:rPr>
          <w:rFonts w:ascii="仿宋" w:hAnsi="仿宋" w:eastAsia="仿宋" w:cs="仿宋"/>
          <w:color w:val="333333"/>
          <w:kern w:val="0"/>
          <w:sz w:val="32"/>
          <w:szCs w:val="32"/>
        </w:rPr>
      </w:pPr>
    </w:p>
    <w:p w14:paraId="4A28A50F">
      <w:pPr>
        <w:numPr>
          <w:ilvl w:val="0"/>
          <w:numId w:val="1"/>
        </w:num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 xml:space="preserve">机构设置 </w:t>
      </w:r>
    </w:p>
    <w:p w14:paraId="2B011AF6">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综合办公室。负责机关日常运转工作，承担重大问题调研、重要文稿起草、政务公开、保密和行政后勤管理等工作，组织协调建议提案的办理工作。负责机关离退休人员工作，指导直属单位离退休人员工作。拟订卫生健康人才发展规划，承担机关和直属单位的人事管理、机构编制和队伍建设等工作，负责卫生健康专业技术人员资格管理。组织指导卫生健康工作领域的国内外交流与合作、援外工作。承担机关及直属单位人员的因公出国(出境)等涉外管理工作。负责拟订卫生健康行业信访工作规章制度，受理、转办、督办人民群众有关卫生健康系统信访事项，协调处办网络媒体舆情，指导监督卫生健康行业单位信访工作。负责机关和直属事业单位的党群工作。承担机关和预算管理单位预决算、财务和资产管理工作，提出医疗服务价格政策的建议。负责机关和直属单位内部审计工作。</w:t>
      </w:r>
    </w:p>
    <w:p w14:paraId="2E0A37BF">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疾病预防控制股(卫生应急办公室)。拟订重大疾病防治规划、免疫规划、严重危害人民健康公共卫生问题的干预措施并组织实施，完善疾病预防控制体系，依法管理传染病、慢性病、地方病防治工作，承担法定报告传染病疫情信息发布工作。承担县防治艾滋病工作委员会、县地方病防治领导小组的日常工作。承担卫生应急和紧急医学救援工作，组织编制卫生应急专项预案，组织实施和指导监督预案演练。组织指导卫生应急体系和能力建设。依法发布突发公共卫生事件应急处置信息。组织拟订食品安全地方标准，开展食品安全风险监测和交流、食品企业标准备案和食品安全标准跟踪评价工作。</w:t>
      </w:r>
    </w:p>
    <w:p w14:paraId="654239D6">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医政医管股(县深化医药卫生体制改革领导小组办公室)，拟订医疗机构及医务人员、医疗技术应用、医疗质量和安全、医疗服务、采供血机构管理以及行风建设等制度规范并组织实施，承担推进护理、康复事业发展工作，指导医院药事、临床实验室管理等工作。拟订公立医院运行监管、绩效评价和考核制度，指导监督医疗机构评审评价工作。协调推进分级诊疗制度建设。承担县深化医药卫生体制改革具体工作，组织推进公立医院综合改革工作。承担县深化医药卫生体制改革领导小组的日常工作。贯彻落实国家药物政策和国家基本药物制度，组织实施基本药物目录，开展药品使用监测、临床综合评价和短缺药品预警。协调推进药品供应保障制度建设。负责拟订卫生健康行业安全工作规章制度，指导监督卫生健康行业单位安全工作。指导基层卫生健康服务体系建设和乡村医生管理工作。承担农村和社区基本公共卫生服务项目综合管理工作。</w:t>
      </w:r>
    </w:p>
    <w:p w14:paraId="0E983DF6">
      <w:pPr>
        <w:spacing w:line="360" w:lineRule="auto"/>
        <w:ind w:firstLine="1280" w:firstLineChars="400"/>
        <w:rPr>
          <w:rFonts w:ascii="仿宋" w:hAnsi="仿宋" w:eastAsia="仿宋" w:cs="仿宋"/>
          <w:sz w:val="32"/>
          <w:szCs w:val="32"/>
        </w:rPr>
      </w:pPr>
      <w:r>
        <w:rPr>
          <w:rFonts w:hint="eastAsia" w:ascii="仿宋" w:hAnsi="仿宋" w:eastAsia="仿宋" w:cs="仿宋"/>
          <w:sz w:val="32"/>
          <w:szCs w:val="32"/>
        </w:rPr>
        <w:t>(四)中医药管理和老龄工作股。拟订中医药事业发展规划并组织实施，落实中西医结合政策。指导中医药服务体系建设。组织实施中医药人才培养工作。促进中医药科技成果的转化、应用和推广。推进中医药文化继承发展。参与制定中药产业发展规划。组织开展中医药对外交流合作。</w:t>
      </w:r>
    </w:p>
    <w:p w14:paraId="252F1FD0">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五)宣传科教和综合监督股(行政审批办公室)。拟订并组织实施卫生健康科技发展规划，组织开展相关科研项目、医学重点学科建设、适宜技术推广工作。承担实验室生物安全监督工作。组织开展住院医师、全科医师、专科医师培训等毕业后医学教育和继续医学教育工作。负责开展卫生健康工作领域宣传、健康教育、健康促进活动，承担卫生健康科学普及、新闻宣传和信息发布工作。承担县爱国卫生运动委员会的日常工作。组织开展《烟草控制框架公约》履约有关工作组织起草相关规章草案，承担地方标准有关工作，承担规范性文件的合法性审查工作，承担行政复议、行政应诉工作，指导、组织推进法治建设，承担普法依法治理工作。承担公共卫生、医疗卫生等监督工作，查处医疗服务市场违法行为。组织开展学校卫生、公共场所卫生、饮用水卫生、传染病防治、职业卫生监督检查。完善卫生健康综合监督体系，组织开展综合行政执法改革，负责医疗卫生违法案件查处和跨区域执法的组织协调工作，规范执法行为。组织实施职业卫生、放射卫生相关政策、标准。开展重点职业病监测、专项调查、职业健康风险评估和职业人群健康管理工作。协调开展职业病防治工作。负贵本部门行政审批制度改革相关工作，负责本部门政务服务管理工作，负责本部门具有审批性质行政职权事项的受理、办理或牵头组织联审联办工作。</w:t>
      </w:r>
    </w:p>
    <w:p w14:paraId="7CD1C049">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六)妇幼健康和规划信息股。推进妇幼健康服务体系建设，指导妇幼卫生、儿童卫生、生殖健康工作，推动生育全程服务、出生缺陷综合防治、婴幼儿早期发展，规范人类辅助生殖技术和避孕药具管理。承担人口监测预警工作，研究提出促进人口与家庭发展的建议，建立和完善计划生育特殊家庭扶助制度，推动计划生育家庭奖励规定落实。承担卫生健康战略统筹协调推进工作，组织拟订卫生健康事业发展中长期规划，承担统筹规划与协调优化卫生健康服务资源配置工作，组织县域内卫生健康事业规划的编制和实施，负责卫生健康服务体系和信息化建设，开展卫生健康统计工作。组织落实应对老龄化问题的政策、措施、建议和宣传。贯彻落实医养结合的政策、标准和规范，建立和完善老年健康服务体系和养老助老社会公益事业。负责落实老年人优待政策。承担县老龄工作委员会的日常工作。负责重要会议与重大活动的医疗卫生保障工作。</w:t>
      </w:r>
    </w:p>
    <w:p w14:paraId="4F1EECB9">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(七)体育工作股。研究拟订全县群众体育工作的发展规划;推行全民健身计划，推动建立和完善全民健身服务体制。</w:t>
      </w:r>
    </w:p>
    <w:p w14:paraId="719B7B85">
      <w:pPr>
        <w:rPr>
          <w:rFonts w:ascii="仿宋" w:hAnsi="仿宋" w:eastAsia="仿宋" w:cs="仿宋"/>
          <w:color w:val="333333"/>
          <w:kern w:val="0"/>
          <w:sz w:val="32"/>
          <w:szCs w:val="32"/>
        </w:rPr>
      </w:pPr>
    </w:p>
    <w:p w14:paraId="171E05E4">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第二部分：2020年度部门决算公开报表</w:t>
      </w:r>
    </w:p>
    <w:p w14:paraId="79E287AC">
      <w:pPr>
        <w:rPr>
          <w:rFonts w:ascii="仿宋" w:hAnsi="仿宋" w:eastAsia="仿宋" w:cs="仿宋"/>
          <w:color w:val="333333"/>
          <w:kern w:val="0"/>
          <w:sz w:val="32"/>
          <w:szCs w:val="32"/>
        </w:rPr>
      </w:pPr>
      <w:r>
        <w:rPr>
          <w:rFonts w:hint="eastAsia" w:ascii="仿宋" w:hAnsi="仿宋" w:eastAsia="仿宋" w:cs="仿宋"/>
          <w:color w:val="333333"/>
          <w:kern w:val="0"/>
          <w:sz w:val="32"/>
          <w:szCs w:val="32"/>
        </w:rPr>
        <w:t>附件：大同市浑源县卫生健康和体育局2020年度部门决算公开报表.xls</w:t>
      </w:r>
    </w:p>
    <w:p w14:paraId="2A940726">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第三部分：2020年度部门决算情况说明</w:t>
      </w:r>
    </w:p>
    <w:p w14:paraId="67F65A80">
      <w:pPr>
        <w:pStyle w:val="6"/>
        <w:numPr>
          <w:ilvl w:val="0"/>
          <w:numId w:val="2"/>
        </w:numPr>
        <w:ind w:firstLine="6" w:firstLineChars="2"/>
        <w:rPr>
          <w:rFonts w:ascii="仿宋" w:hAnsi="仿宋" w:eastAsia="仿宋" w:cs="仿宋"/>
          <w:color w:val="333333"/>
          <w:kern w:val="0"/>
          <w:sz w:val="32"/>
          <w:szCs w:val="32"/>
        </w:rPr>
      </w:pPr>
      <w:r>
        <w:rPr>
          <w:rFonts w:hint="eastAsia" w:ascii="仿宋" w:hAnsi="仿宋" w:eastAsia="仿宋" w:cs="仿宋"/>
          <w:color w:val="333333"/>
          <w:kern w:val="0"/>
          <w:sz w:val="32"/>
          <w:szCs w:val="32"/>
        </w:rPr>
        <w:t>决算收入情况</w:t>
      </w:r>
    </w:p>
    <w:p w14:paraId="2E5D4AA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总收入为3104.55万元，上年度总收入为4443.02万元，增减-30.13 %。其中：一般公共预算财政拨款本年度收入为2616.78万元，上年度收入为4441.06万元，增减-41.08 %；政府性基金预算财政拨款本年度收入为485.61万元，上年度收入为1.6万元，增减30250.53 %；事业收入本年度收入为0万元，上年度收入为0万元，增减0 %；其他收入本年度收入为2.16万元，上年度收入为0.35万元，增减509.7%。</w:t>
      </w:r>
    </w:p>
    <w:p w14:paraId="0AD049AD">
      <w:pPr>
        <w:pStyle w:val="6"/>
        <w:numPr>
          <w:ilvl w:val="0"/>
          <w:numId w:val="2"/>
        </w:numPr>
        <w:ind w:firstLine="6" w:firstLineChars="2"/>
        <w:rPr>
          <w:rFonts w:ascii="仿宋" w:hAnsi="仿宋" w:eastAsia="仿宋" w:cs="仿宋"/>
          <w:color w:val="333333"/>
          <w:kern w:val="0"/>
          <w:sz w:val="32"/>
          <w:szCs w:val="32"/>
        </w:rPr>
      </w:pPr>
      <w:r>
        <w:rPr>
          <w:rFonts w:hint="eastAsia" w:ascii="仿宋" w:hAnsi="仿宋" w:eastAsia="仿宋" w:cs="仿宋"/>
          <w:color w:val="333333"/>
          <w:kern w:val="0"/>
          <w:sz w:val="32"/>
          <w:szCs w:val="32"/>
        </w:rPr>
        <w:t>决算支出情况</w:t>
      </w:r>
    </w:p>
    <w:p w14:paraId="46AD8856">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总支出为3123.76万元，上年度总支出为4490.63万元，增减-30.44 %。其中：基本支出本年度支出为1159.68万元，上年度支出为485.46万元，增减138.88 %；项目支出本年度支出为1964.08万元，上年度支出为4005.17万元，增减-50.96 %。</w:t>
      </w:r>
    </w:p>
    <w:p w14:paraId="1572B38F">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14:paraId="60C7E334">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三公”经费总支出为0.35万元，上年度支出为0.29万元，增减23.32 %；其中：因公出国（境）费本年度支出0万元，上年度支出为0万元，增减0 %；公务用车购置及运行维护费支出为0.35万元，上年度支出为0.29万元，增减23.32 %；公务接待费支出为0万元，上年度支出为0万元，增减0 %。</w:t>
      </w:r>
    </w:p>
    <w:p w14:paraId="4CBC49F8">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14:paraId="2EA5D577">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本单位本年度机关运行经费总支出为16.44万元，上年度支出为20.52万元，增减-19.88 %；主要为日常办公费、水电、差旅、印刷、委托业务费等费用。</w:t>
      </w:r>
    </w:p>
    <w:p w14:paraId="60330692">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14:paraId="022ADF0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本单位本年度政府采购总价为639.7万元，其中：货物采购384.7万元，工程采购255万元，服务采购0万元。</w:t>
      </w:r>
    </w:p>
    <w:p w14:paraId="2D9C204C">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14:paraId="69556B93">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（1）房屋情况</w:t>
      </w:r>
    </w:p>
    <w:p w14:paraId="5A1BF6E1">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截止2020年12月31日， 我单位产权房屋面积为3400平方米，价值523.27万元。</w:t>
      </w:r>
    </w:p>
    <w:p w14:paraId="770829DC">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（2）车辆情况</w:t>
      </w:r>
    </w:p>
    <w:p w14:paraId="536E26E6">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 xml:space="preserve"> 单位账面车辆为2辆，价值30.38万元。</w:t>
      </w:r>
    </w:p>
    <w:p w14:paraId="100D9EE8">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14:paraId="490ABC8B">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2020年度，本单位实行绩效目标管理的项目13个。</w:t>
      </w:r>
    </w:p>
    <w:p w14:paraId="2A01D0F4">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第四部分 部门名词解释</w:t>
      </w:r>
    </w:p>
    <w:p w14:paraId="250E59C7">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一、财政拨款：财政拨款包括一般公共预算财政拨款、政府性基金预算财政拨款和国有资本经营预算财政拨款。</w:t>
      </w:r>
    </w:p>
    <w:p w14:paraId="6312BFB9">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1ED6868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01B93509">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38528A71">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二、收入</w:t>
      </w:r>
    </w:p>
    <w:p w14:paraId="196A953C">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1、财政拨款收入：单位本年度从本级财政部门取得的财政拨款，包括一般公共预算财政拨款、政府性基金预算财政拨款和国有资本经营预算财政拨款。</w:t>
      </w:r>
    </w:p>
    <w:p w14:paraId="1D48BA10">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一级预算单位收到的应拨给下级单位使用的款项，年终决算时尚未拨出的，在编报时列为本单位财政拨款。</w:t>
      </w:r>
    </w:p>
    <w:p w14:paraId="6D6029FB">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2、上级补助收入：填列事业单位从主管部门和上级单位取得的非财政补助收入。</w:t>
      </w:r>
    </w:p>
    <w:p w14:paraId="29CEF74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3、事业收入：填列事业单位开展专业业务活动及其辅助活动取得的收入；事业单位收到的财政专户实际核拨的教育收费等资金在此反映。</w:t>
      </w:r>
    </w:p>
    <w:p w14:paraId="306B956A">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4、经营收入：填列事业单位在专业业务活动及其辅助活动之外开展非独立核算经营活动取得的收入。</w:t>
      </w:r>
    </w:p>
    <w:p w14:paraId="2D306606">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5、附属单位上缴收入：填列事业单位附独立核算单位按照有关规定上缴的收入。</w:t>
      </w:r>
    </w:p>
    <w:p w14:paraId="53475BA6">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5B37538E">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事业单位开展专业业务活动及辅助活动并以合同形式从本级财政部门以外的同级单位取得的经费，不在本项反映，应填列在“事业收入”栏。</w:t>
      </w:r>
    </w:p>
    <w:p w14:paraId="38218AB0">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三、支出</w:t>
      </w:r>
    </w:p>
    <w:p w14:paraId="015C9C38">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1、基本支出：填列单位为保障机构正常运转、完成日常工作任务而发生的各项支出。</w:t>
      </w:r>
    </w:p>
    <w:p w14:paraId="2CE07778">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2、项目支出：填列单位为完成特定的行政工作任务或事业发展目标，在基本支出之外发生的各项支出。</w:t>
      </w:r>
    </w:p>
    <w:p w14:paraId="56DC23EC">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3、上缴上级支出：填列事业单位按照财政部门和主管部门的规定上缴上级单位的支出。</w:t>
      </w:r>
    </w:p>
    <w:p w14:paraId="3953D151">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4、经营支出：填列事业单位在专业活动及辅助活动之外开展非独立核算经营活动发生的支出。</w:t>
      </w:r>
    </w:p>
    <w:p w14:paraId="0EBB16E7">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5、附属单位补助支出：填列事业单位用财政补助收入之外的收入对附属单位补助发生的支出。</w:t>
      </w:r>
    </w:p>
    <w:p w14:paraId="44E582D3">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6、主管部门在汇总决算时，应使用调整表对“上缴上级支出”“对附属单位补助支出”与收入表中“附属单位上缴收入”“上级补助收入”进行冲抵。</w:t>
      </w:r>
    </w:p>
    <w:p w14:paraId="36247F9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四、“三公”经费：一般公共预算安排的因公出国（境）费、公务用车购置及运行费和公务接待费。</w:t>
      </w:r>
    </w:p>
    <w:p w14:paraId="777D3719">
      <w:pPr>
        <w:rPr>
          <w:rFonts w:ascii="仿宋" w:hAnsi="仿宋" w:eastAsia="仿宋" w:cs="仿宋"/>
          <w:sz w:val="32"/>
          <w:szCs w:val="32"/>
        </w:rPr>
      </w:pPr>
    </w:p>
    <w:p w14:paraId="0ED635CB">
      <w:pPr>
        <w:rPr>
          <w:rFonts w:ascii="仿宋" w:hAnsi="仿宋" w:eastAsia="仿宋" w:cs="仿宋"/>
          <w:sz w:val="32"/>
          <w:szCs w:val="32"/>
        </w:rPr>
      </w:pPr>
    </w:p>
    <w:p w14:paraId="31B8CBE4">
      <w:pPr>
        <w:rPr>
          <w:rFonts w:ascii="仿宋" w:hAnsi="仿宋" w:eastAsia="仿宋" w:cs="仿宋"/>
          <w:sz w:val="32"/>
          <w:szCs w:val="32"/>
        </w:rPr>
      </w:pPr>
    </w:p>
    <w:p w14:paraId="1026C5F1">
      <w:pPr>
        <w:ind w:left="7680" w:hanging="7680" w:hangingChars="2400"/>
        <w:rPr>
          <w:rFonts w:ascii="仿宋" w:hAnsi="仿宋" w:eastAsia="仿宋" w:cs="仿宋"/>
          <w:sz w:val="32"/>
          <w:szCs w:val="32"/>
        </w:rPr>
      </w:pPr>
      <w:r>
        <w:rPr>
          <w:rFonts w:hint="eastAsia" w:ascii="仿宋" w:hAnsi="仿宋" w:eastAsia="仿宋" w:cs="仿宋"/>
          <w:sz w:val="32"/>
          <w:szCs w:val="32"/>
        </w:rPr>
        <w:t xml:space="preserve">                                                     </w:t>
      </w:r>
    </w:p>
    <w:p w14:paraId="4D203D48">
      <w:pPr>
        <w:jc w:val="right"/>
      </w:pPr>
      <w:r>
        <w:rPr>
          <w:rFonts w:hint="eastAsia" w:ascii="仿宋" w:hAnsi="仿宋" w:eastAsia="仿宋" w:cs="仿宋"/>
          <w:sz w:val="32"/>
          <w:szCs w:val="32"/>
        </w:rPr>
        <w:t>2021年8月9日</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3AB925"/>
    <w:multiLevelType w:val="singleLevel"/>
    <w:tmpl w:val="D23AB925"/>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55C37"/>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B94503"/>
    <w:rsid w:val="00C23AA0"/>
    <w:rsid w:val="00C44367"/>
    <w:rsid w:val="00C46163"/>
    <w:rsid w:val="00C57268"/>
    <w:rsid w:val="00CA04EB"/>
    <w:rsid w:val="00CA2EFC"/>
    <w:rsid w:val="00D13998"/>
    <w:rsid w:val="00D15E6B"/>
    <w:rsid w:val="00DB2608"/>
    <w:rsid w:val="00DE144A"/>
    <w:rsid w:val="00E02F79"/>
    <w:rsid w:val="00E13B22"/>
    <w:rsid w:val="00E47B7C"/>
    <w:rsid w:val="00E47D80"/>
    <w:rsid w:val="00FB5C0F"/>
    <w:rsid w:val="0C3D3BE1"/>
    <w:rsid w:val="0F42781E"/>
    <w:rsid w:val="23BD734B"/>
    <w:rsid w:val="31F958C1"/>
    <w:rsid w:val="3DE0776F"/>
    <w:rsid w:val="4001186F"/>
    <w:rsid w:val="6AEC5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CEF41-4A4E-4492-A5FE-1622A26B9378}">
  <ds:schemaRefs/>
</ds:datastoreItem>
</file>

<file path=docProps/app.xml><?xml version="1.0" encoding="utf-8"?>
<Properties xmlns="http://schemas.openxmlformats.org/officeDocument/2006/extended-properties" xmlns:vt="http://schemas.openxmlformats.org/officeDocument/2006/docPropsVTypes">
  <Template>Normal</Template>
  <Pages>17</Pages>
  <Words>7547</Words>
  <Characters>7797</Characters>
  <Lines>56</Lines>
  <Paragraphs>15</Paragraphs>
  <TotalTime>34</TotalTime>
  <ScaleCrop>false</ScaleCrop>
  <LinksUpToDate>false</LinksUpToDate>
  <CharactersWithSpaces>7884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刘萍</cp:lastModifiedBy>
  <cp:lastPrinted>2021-08-19T03:05:00Z</cp:lastPrinted>
  <dcterms:modified xsi:type="dcterms:W3CDTF">2025-02-20T10:16:36Z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A74F614967404B0E9B119051435F5199</vt:lpwstr>
  </property>
  <property fmtid="{D5CDD505-2E9C-101B-9397-08002B2CF9AE}" pid="4" name="KSOTemplateDocerSaveRecord">
    <vt:lpwstr>eyJoZGlkIjoiODM2MGQ5OTA4MzQzODIzZGFjMzUzMjljNzgyYTQ3NTMiLCJ1c2VySWQiOiIzNjcyOTAzODIifQ==</vt:lpwstr>
  </property>
</Properties>
</file>