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auto"/>
          <w:sz w:val="36"/>
          <w:szCs w:val="36"/>
        </w:rPr>
      </w:pPr>
      <w:r>
        <w:rPr>
          <w:rFonts w:hint="eastAsia" w:ascii="黑体" w:hAnsi="黑体" w:eastAsia="黑体"/>
          <w:color w:val="auto"/>
          <w:sz w:val="36"/>
          <w:szCs w:val="36"/>
        </w:rPr>
        <w:t>大同市浑源县政务服务中心</w:t>
      </w:r>
    </w:p>
    <w:p>
      <w:pPr>
        <w:jc w:val="center"/>
        <w:rPr>
          <w:rFonts w:ascii="黑体" w:hAnsi="黑体" w:eastAsia="黑体"/>
          <w:sz w:val="36"/>
          <w:szCs w:val="36"/>
        </w:rPr>
      </w:pPr>
      <w:r>
        <w:rPr>
          <w:rFonts w:hint="eastAsia" w:ascii="黑体" w:hAnsi="黑体" w:eastAsia="黑体"/>
          <w:sz w:val="36"/>
          <w:szCs w:val="36"/>
        </w:rPr>
        <w:t>2020年度部门决算公开说明</w:t>
      </w:r>
    </w:p>
    <w:p>
      <w:pPr>
        <w:rPr>
          <w:rFonts w:hint="eastAsia" w:ascii="仿宋" w:hAnsi="仿宋" w:eastAsia="仿宋" w:cs="仿宋"/>
          <w:b/>
          <w:color w:val="333333"/>
          <w:kern w:val="0"/>
          <w:sz w:val="32"/>
          <w:szCs w:val="32"/>
        </w:rPr>
      </w:pPr>
      <w:r>
        <w:rPr>
          <w:rFonts w:hint="eastAsia" w:ascii="仿宋" w:hAnsi="仿宋" w:eastAsia="仿宋" w:cs="仿宋"/>
          <w:b/>
          <w:color w:val="333333"/>
          <w:kern w:val="0"/>
          <w:sz w:val="32"/>
          <w:szCs w:val="32"/>
        </w:rPr>
        <w:t>目录</w:t>
      </w:r>
    </w:p>
    <w:p>
      <w:pPr>
        <w:rPr>
          <w:rFonts w:hint="eastAsia" w:ascii="仿宋" w:hAnsi="仿宋" w:eastAsia="仿宋" w:cs="仿宋"/>
          <w:b/>
          <w:color w:val="333333"/>
          <w:kern w:val="0"/>
          <w:sz w:val="32"/>
          <w:szCs w:val="32"/>
        </w:rPr>
      </w:pPr>
      <w:r>
        <w:rPr>
          <w:rFonts w:hint="eastAsia" w:ascii="仿宋" w:hAnsi="仿宋" w:eastAsia="仿宋" w:cs="仿宋"/>
          <w:b/>
          <w:color w:val="333333"/>
          <w:kern w:val="0"/>
          <w:sz w:val="32"/>
          <w:szCs w:val="32"/>
        </w:rPr>
        <w:t>第一部分 部门及单位概况</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一、部门职责</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二、机构设置</w:t>
      </w:r>
    </w:p>
    <w:p>
      <w:pPr>
        <w:rPr>
          <w:rFonts w:hint="eastAsia" w:ascii="仿宋" w:hAnsi="仿宋" w:eastAsia="仿宋" w:cs="仿宋"/>
          <w:b/>
          <w:color w:val="333333"/>
          <w:kern w:val="0"/>
          <w:sz w:val="32"/>
          <w:szCs w:val="32"/>
        </w:rPr>
      </w:pPr>
      <w:r>
        <w:rPr>
          <w:rFonts w:hint="eastAsia" w:ascii="仿宋" w:hAnsi="仿宋" w:eastAsia="仿宋" w:cs="仿宋"/>
          <w:b/>
          <w:color w:val="333333"/>
          <w:kern w:val="0"/>
          <w:sz w:val="32"/>
          <w:szCs w:val="32"/>
        </w:rPr>
        <w:t>第二部分 2020年度部门决算公开报表</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表一：GK01 收入支出决算总表(公开01表)</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表二：GK02 收入决算表(公开02表)</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表三：GK03 支出决算表(公开03表)</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表四：GK04 财政拨款收入支出决算总表(公开04表)</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表五：GK05 一般公共预算财政拨款支出决算表（一）(公开05表)</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表六：GK06 一般公共预算财政拨款支出决算表（二）(公开06表)</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表七：GK07 一般公共预算财政拨款“三公”经费支出决算表(公开07)</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表八：GK08 政府性基金预算财政拨款收入支出决算表(公开08表)</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表九：GK09 国有资本经营预算财政拨款支出决算表(公开09表)</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表十：GK10 部门决算公开相关信息统计表(公开10表)</w:t>
      </w:r>
    </w:p>
    <w:p>
      <w:pPr>
        <w:rPr>
          <w:rFonts w:hint="eastAsia" w:ascii="仿宋" w:hAnsi="仿宋" w:eastAsia="仿宋" w:cs="仿宋"/>
          <w:b/>
          <w:color w:val="333333"/>
          <w:kern w:val="0"/>
          <w:sz w:val="32"/>
          <w:szCs w:val="32"/>
        </w:rPr>
      </w:pPr>
      <w:r>
        <w:rPr>
          <w:rFonts w:hint="eastAsia" w:ascii="仿宋" w:hAnsi="仿宋" w:eastAsia="仿宋" w:cs="仿宋"/>
          <w:b/>
          <w:color w:val="333333"/>
          <w:kern w:val="0"/>
          <w:sz w:val="32"/>
          <w:szCs w:val="32"/>
        </w:rPr>
        <w:t>第三部分 2020年度部门决算情况说明</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一、决算收入情况</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二、决算支出情况</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三、“三公”经费情况</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四、机关运行经费情况</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五、政府决算采购情况说明</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六、国有资产占有使用情况</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七、绩效情况说明</w:t>
      </w:r>
    </w:p>
    <w:p>
      <w:pPr>
        <w:rPr>
          <w:rFonts w:hint="eastAsia" w:ascii="仿宋" w:hAnsi="仿宋" w:eastAsia="仿宋" w:cs="仿宋"/>
          <w:b/>
          <w:color w:val="333333"/>
          <w:kern w:val="0"/>
          <w:sz w:val="32"/>
          <w:szCs w:val="32"/>
        </w:rPr>
      </w:pPr>
      <w:r>
        <w:rPr>
          <w:rFonts w:hint="eastAsia" w:ascii="仿宋" w:hAnsi="仿宋" w:eastAsia="仿宋" w:cs="仿宋"/>
          <w:b/>
          <w:color w:val="333333"/>
          <w:kern w:val="0"/>
          <w:sz w:val="32"/>
          <w:szCs w:val="32"/>
        </w:rPr>
        <w:t>第四部分 部门名词解释</w:t>
      </w:r>
    </w:p>
    <w:p>
      <w:pPr>
        <w:rPr>
          <w:rFonts w:hint="eastAsia" w:ascii="仿宋" w:hAnsi="仿宋" w:eastAsia="仿宋" w:cs="仿宋"/>
          <w:b/>
          <w:color w:val="333333"/>
          <w:kern w:val="0"/>
          <w:sz w:val="32"/>
          <w:szCs w:val="32"/>
        </w:rPr>
      </w:pPr>
    </w:p>
    <w:p>
      <w:pPr>
        <w:rPr>
          <w:rFonts w:hint="eastAsia" w:ascii="仿宋" w:hAnsi="仿宋" w:eastAsia="仿宋" w:cs="仿宋"/>
          <w:b/>
          <w:color w:val="333333"/>
          <w:kern w:val="0"/>
          <w:sz w:val="32"/>
          <w:szCs w:val="32"/>
        </w:rPr>
      </w:pPr>
      <w:r>
        <w:rPr>
          <w:rFonts w:hint="eastAsia" w:ascii="仿宋" w:hAnsi="仿宋" w:eastAsia="仿宋" w:cs="仿宋"/>
          <w:b/>
          <w:color w:val="333333"/>
          <w:kern w:val="0"/>
          <w:sz w:val="32"/>
          <w:szCs w:val="32"/>
        </w:rPr>
        <w:t>内容</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第一部分：</w:t>
      </w:r>
      <w:r>
        <w:rPr>
          <w:rFonts w:hint="eastAsia" w:ascii="仿宋" w:hAnsi="仿宋" w:eastAsia="仿宋" w:cs="仿宋"/>
          <w:color w:val="333333"/>
          <w:kern w:val="0"/>
          <w:sz w:val="32"/>
          <w:szCs w:val="32"/>
          <w:highlight w:val="none"/>
        </w:rPr>
        <w:t>大同市浑源县政务服务中心</w:t>
      </w:r>
      <w:r>
        <w:rPr>
          <w:rFonts w:hint="eastAsia" w:ascii="仿宋" w:hAnsi="仿宋" w:eastAsia="仿宋" w:cs="仿宋"/>
          <w:color w:val="333333"/>
          <w:kern w:val="0"/>
          <w:sz w:val="32"/>
          <w:szCs w:val="32"/>
        </w:rPr>
        <w:t>概况</w:t>
      </w:r>
    </w:p>
    <w:p>
      <w:pPr>
        <w:numPr>
          <w:ilvl w:val="0"/>
          <w:numId w:val="1"/>
        </w:numPr>
        <w:ind w:firstLine="640" w:firstLineChars="200"/>
        <w:rPr>
          <w:rFonts w:hint="eastAsia" w:ascii="仿宋" w:hAnsi="仿宋" w:eastAsia="仿宋" w:cs="仿宋"/>
          <w:color w:val="333333"/>
          <w:kern w:val="0"/>
          <w:sz w:val="32"/>
          <w:szCs w:val="32"/>
          <w:lang w:val="en-US" w:eastAsia="zh-CN"/>
        </w:rPr>
      </w:pPr>
      <w:r>
        <w:rPr>
          <w:rFonts w:hint="eastAsia" w:ascii="仿宋" w:hAnsi="仿宋" w:eastAsia="仿宋" w:cs="仿宋"/>
          <w:color w:val="333333"/>
          <w:kern w:val="0"/>
          <w:sz w:val="32"/>
          <w:szCs w:val="32"/>
        </w:rPr>
        <w:t>部门职责</w:t>
      </w:r>
      <w:r>
        <w:rPr>
          <w:rFonts w:hint="eastAsia" w:ascii="仿宋" w:hAnsi="仿宋" w:eastAsia="仿宋" w:cs="仿宋"/>
          <w:color w:val="333333"/>
          <w:kern w:val="0"/>
          <w:sz w:val="32"/>
          <w:szCs w:val="32"/>
          <w:lang w:val="en-US" w:eastAsia="zh-CN"/>
        </w:rPr>
        <w:t xml:space="preserve"> </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（一）贯彻执行党中央、国务院、省委、省政府、市委、市政府、县委、县政府关于政务服务的方针政策、法律法规和决策部署，组织协调开展县级政务服务。</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二）负责落实“放管服效”改革政策措施，推进“两集中、两到位”，承办服务便民化改革相关工作、组织协调进驻县政务服务大厅部门推进并联服务、承诺制改革等工作，推行“互联网＋政务服务”，推动实现“一网通办”“全程网办”。</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（三）负责制定县级政务服务现场管理办法、工作流程和服务规范并组织实施。为进驻单位提供场所、设施、信息等服务保障。</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（四）负责对进入县级政务服务平台的行政服务，公共服务和其他政务活动的组织，协调及服务全过程的见证、留痕和现场监督。承担政务服务导办、帮办等有关工作。</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（五）负责受理县级政务服务事项的投诉举报，协调配合有关部门查处违法、违规、违纪问题，负责县政务服务咨询、投诉、举报平台的运行、维护。</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（六）承担对进入县政务服务大厅单位的行政服务、公共服务的绩效考核和评估的日常性工作，承办县级政务信息统计汇总工作。</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（七）负责运用现代科技手段，加强对行政服务服务和政务服务的全程行政电子监察。</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（八）负责县政务服务平台、公共资源交易平台信息网络系统的建设维护管理。</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（九）指导乡镇便民服务大厅服务工作。</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（十）承办县委、县政府及县行政服务服务管理局（县政务信息管理局）交办的其他任务。</w:t>
      </w:r>
    </w:p>
    <w:p>
      <w:pPr>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二、机构设置</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浑源县政务服务中心设3个内设机构（岗位）。</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1、审批服务股。承办县政务服务大厅的行政服务事项的日常管理工作，制定现场管理办法、工作流程和服务规范。为进驻单位和人员提供服务，实施现场管理、绩效考核，协调相关机构或组织简化、优化政务服务流程，负责落实行政服务标准化、规范化建设相关要求。负责县级投资项目、重点项目联合服务、并联服务协调服务工作，协调重大建设项目和招商引资项目行政服务相关服务工作。负责推行“统一清单告知、统一平台办理，统一流程再造、统一多图联审、统一收费管理”并联服务模式。负责网上服务协调服务工作，承担与服务部门的联络综合协调工作。承办县级优化营商环境有关工作。负责对纳入县政务服务大厅的公共服务事项进行日常管理。承办为社会公众和服务对象提供引导、咨询服务。负责受理帮办、咨询等相关服务。</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2、监督效能股。负责对进入县级政务服务大厅的行政服务、公共服务的现场监督检查工作、维护场所秩序、受理服务对象、社会公众对进驻单位和人员违法违规违纪行为的投诉举报，负责初步核实并移交相关部门处理。跟踪落实投诉举报办理结果。负责机关的内部审计工作。</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3、信息网络股。负责县政务服务大厅信息网络的建设维护管理。统计分析全县一体化政务服务平台数据，承办政务服务网上信息发布具体工作。</w:t>
      </w:r>
    </w:p>
    <w:p>
      <w:pPr>
        <w:rPr>
          <w:rFonts w:hint="eastAsia" w:ascii="仿宋" w:hAnsi="仿宋" w:eastAsia="仿宋" w:cs="仿宋"/>
          <w:color w:val="333333"/>
          <w:kern w:val="0"/>
          <w:sz w:val="32"/>
          <w:szCs w:val="32"/>
          <w:highlight w:val="none"/>
        </w:rPr>
      </w:pPr>
    </w:p>
    <w:p>
      <w:pPr>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第二部分：2020年度部门决算公开报表</w:t>
      </w:r>
    </w:p>
    <w:p>
      <w:pPr>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附件：大同市浑源县政务服务中心2020年度部门决算公开报表.xls</w:t>
      </w:r>
    </w:p>
    <w:p>
      <w:pPr>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第三部分：2020年度部门决算情况说明</w:t>
      </w:r>
    </w:p>
    <w:p>
      <w:pPr>
        <w:pStyle w:val="6"/>
        <w:numPr>
          <w:ilvl w:val="0"/>
          <w:numId w:val="2"/>
        </w:numPr>
        <w:ind w:firstLine="6" w:firstLineChars="2"/>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决算收入情况</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本单位本年度总收入为1236.45万元，上年度总收入为420.23万元，增减194.23 %。其中：一般公共预算财政拨款本年度收入为1236.43万元，上年度收入为420.19万元，增减194.25 %；政府性基金预算财政拨款本年度收入为0万元，上年度收入为0万元，增减0 %；事业收入本年度收入为0万元，上年度收入为0万元，增减0 %；其他收入本年度收入为0.02万元，上年度收入为0.04万元，增减-43.36%。</w:t>
      </w:r>
    </w:p>
    <w:p>
      <w:pPr>
        <w:pStyle w:val="6"/>
        <w:numPr>
          <w:ilvl w:val="0"/>
          <w:numId w:val="2"/>
        </w:numPr>
        <w:ind w:firstLine="6" w:firstLineChars="2"/>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决算支出情况</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本单位本年度总支出为1236.46万元，上年度总支出为420.21万元，增减194.25 %。其中：基本支出本年度支出为239.27万元，上年度支出为121.27万元，增减97.31 %；项目支出本年度支出为997.19万元，上年度支出为298.94万元，增减233.57 %。</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三、“三公”经费情况</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四、机关运行经费情况</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本单位本年度机关运行经费总支出为0万元，上年度支出为0万元，增减0 %；主要为日常办公费、水电、差旅、印刷、委托业务费等费用。</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五、政府决算采购情况说明</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本单位本年度政府采购总价为0万元，其中：货物采购0万元，工程采购0万元，服务采购0万元。</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六、国有资产占有使用情况</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（1）房屋情况</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截止2020年12月31日， 我单位产权房屋面积为0平方米，价值0万元。</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（2）车辆情况</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 xml:space="preserve"> 单位账面车辆为0辆，价值0万元。</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七、绩效情况说明</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2020年度，本单位实行绩效目标管理的项目XX个。</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第四部分 部门名词解释</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二、收入</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2、上级补助收入：填列事业单位从主管部门和上级单位取得的非财政补助收入。</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4、经营收入：填列事业单位在专业业务活动及其辅助活动之外开展非独立核算经营活动取得的收入。</w:t>
      </w:r>
    </w:p>
    <w:p>
      <w:pPr>
        <w:ind w:firstLine="64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5、附属单位上缴收入：填列事业单位附独立核算单位按照有关规定上缴的收入。</w:t>
      </w:r>
    </w:p>
    <w:p>
      <w:pPr>
        <w:ind w:firstLine="64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highlight w:val="none"/>
        </w:rPr>
        <w:t>6、其他收入：填列单位取得的除上述收入以外的各项收入，包括未纳入财政预算的投</w:t>
      </w:r>
      <w:r>
        <w:rPr>
          <w:rFonts w:hint="eastAsia" w:ascii="仿宋" w:hAnsi="仿宋" w:eastAsia="仿宋" w:cs="仿宋"/>
          <w:color w:val="333333"/>
          <w:kern w:val="0"/>
          <w:sz w:val="32"/>
          <w:szCs w:val="32"/>
        </w:rPr>
        <w:t>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三、支出</w:t>
      </w:r>
    </w:p>
    <w:p>
      <w:pPr>
        <w:ind w:firstLine="64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1、基本支出：填列单位为保障机构正常运转、完成日常工作任务而发生的各项支出。</w:t>
      </w:r>
    </w:p>
    <w:p>
      <w:pPr>
        <w:ind w:firstLine="64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2、项目支出：填列单位为完成特定的行政工作任务或事业发展目标，在基本支出之外发生的各项支出。</w:t>
      </w:r>
    </w:p>
    <w:p>
      <w:pPr>
        <w:ind w:firstLine="64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3、上缴上级支出：填列事业单位按照财政部门和主管部门的规定上缴上级单位的支出。</w:t>
      </w:r>
    </w:p>
    <w:p>
      <w:pPr>
        <w:ind w:firstLine="64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4、经营支出：填列事业单位在专业活动及辅助活动之外开展非独立核算经营活动发生的支出。</w:t>
      </w:r>
    </w:p>
    <w:p>
      <w:pPr>
        <w:ind w:firstLine="64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5、附属单位补助支出：填列事业单位用财政补助收入之外的收入对附属单位补助发生的支出。</w:t>
      </w:r>
    </w:p>
    <w:p>
      <w:pPr>
        <w:ind w:firstLine="64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四、“三公”经费：一般公共预算安排的因公出国（境）费、公务用车购置及运行费和公务接待费。</w:t>
      </w:r>
    </w:p>
    <w:p>
      <w:pPr>
        <w:rPr>
          <w:rFonts w:hint="eastAsia" w:ascii="仿宋" w:hAnsi="仿宋" w:eastAsia="仿宋" w:cs="仿宋"/>
          <w:sz w:val="32"/>
          <w:szCs w:val="32"/>
        </w:rPr>
      </w:pPr>
    </w:p>
    <w:p>
      <w:pPr>
        <w:rPr>
          <w:rFonts w:hint="eastAsia" w:ascii="仿宋" w:hAnsi="仿宋" w:eastAsia="仿宋" w:cs="仿宋"/>
          <w:sz w:val="32"/>
          <w:szCs w:val="32"/>
        </w:rPr>
      </w:pPr>
    </w:p>
    <w:p>
      <w:pPr>
        <w:rPr>
          <w:rFonts w:hint="eastAsia" w:ascii="仿宋" w:hAnsi="仿宋" w:eastAsia="仿宋" w:cs="仿宋"/>
          <w:sz w:val="32"/>
          <w:szCs w:val="32"/>
        </w:rPr>
      </w:pPr>
    </w:p>
    <w:p>
      <w:pPr>
        <w:jc w:val="right"/>
      </w:pPr>
      <w:r>
        <w:rPr>
          <w:rFonts w:hint="eastAsia" w:ascii="仿宋" w:hAnsi="仿宋" w:eastAsia="仿宋" w:cs="仿宋"/>
          <w:sz w:val="32"/>
          <w:szCs w:val="32"/>
        </w:rPr>
        <w:t xml:space="preserve">                                                         202</w:t>
      </w:r>
      <w:r>
        <w:rPr>
          <w:rFonts w:hint="eastAsia" w:ascii="仿宋" w:hAnsi="仿宋" w:eastAsia="仿宋" w:cs="仿宋"/>
          <w:sz w:val="32"/>
          <w:szCs w:val="32"/>
          <w:lang w:val="en-US" w:eastAsia="zh-CN"/>
        </w:rPr>
        <w:t>1</w:t>
      </w:r>
      <w:bookmarkStart w:id="0" w:name="_GoBack"/>
      <w:bookmarkEnd w:id="0"/>
      <w:r>
        <w:rPr>
          <w:rFonts w:hint="eastAsia" w:ascii="仿宋" w:hAnsi="仿宋" w:eastAsia="仿宋" w:cs="仿宋"/>
          <w:sz w:val="32"/>
          <w:szCs w:val="32"/>
        </w:rPr>
        <w:t>年8月9日</w:t>
      </w:r>
    </w:p>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5F0E89"/>
    <w:multiLevelType w:val="singleLevel"/>
    <w:tmpl w:val="E45F0E89"/>
    <w:lvl w:ilvl="0" w:tentative="0">
      <w:start w:val="1"/>
      <w:numFmt w:val="chineseCounting"/>
      <w:suff w:val="nothing"/>
      <w:lvlText w:val="%1、"/>
      <w:lvlJc w:val="left"/>
      <w:rPr>
        <w:rFonts w:hint="eastAsia"/>
      </w:rPr>
    </w:lvl>
  </w:abstractNum>
  <w:abstractNum w:abstractNumId="1">
    <w:nsid w:val="22ED1DCA"/>
    <w:multiLevelType w:val="multilevel"/>
    <w:tmpl w:val="22ED1DCA"/>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809"/>
    <w:rsid w:val="0001763B"/>
    <w:rsid w:val="00023075"/>
    <w:rsid w:val="000312C8"/>
    <w:rsid w:val="00053CFC"/>
    <w:rsid w:val="000823E4"/>
    <w:rsid w:val="000C7DA3"/>
    <w:rsid w:val="000E3A02"/>
    <w:rsid w:val="0012759D"/>
    <w:rsid w:val="001755AA"/>
    <w:rsid w:val="00187199"/>
    <w:rsid w:val="00233D19"/>
    <w:rsid w:val="002C018A"/>
    <w:rsid w:val="002E0A76"/>
    <w:rsid w:val="00305655"/>
    <w:rsid w:val="003B3919"/>
    <w:rsid w:val="00402F64"/>
    <w:rsid w:val="00461C82"/>
    <w:rsid w:val="00470500"/>
    <w:rsid w:val="004A715E"/>
    <w:rsid w:val="004B1E33"/>
    <w:rsid w:val="004C52F9"/>
    <w:rsid w:val="004F0ED2"/>
    <w:rsid w:val="005000A8"/>
    <w:rsid w:val="00506073"/>
    <w:rsid w:val="0051584E"/>
    <w:rsid w:val="00531ED5"/>
    <w:rsid w:val="0054497A"/>
    <w:rsid w:val="00580EF9"/>
    <w:rsid w:val="00582034"/>
    <w:rsid w:val="00605E1E"/>
    <w:rsid w:val="0062210F"/>
    <w:rsid w:val="006530BC"/>
    <w:rsid w:val="0066027C"/>
    <w:rsid w:val="00673748"/>
    <w:rsid w:val="00674307"/>
    <w:rsid w:val="006946AF"/>
    <w:rsid w:val="00697611"/>
    <w:rsid w:val="006C69C3"/>
    <w:rsid w:val="006E54CA"/>
    <w:rsid w:val="0070098C"/>
    <w:rsid w:val="0078226E"/>
    <w:rsid w:val="007B04B6"/>
    <w:rsid w:val="007F219D"/>
    <w:rsid w:val="008623A4"/>
    <w:rsid w:val="00885809"/>
    <w:rsid w:val="008C4869"/>
    <w:rsid w:val="008E1E34"/>
    <w:rsid w:val="008E6637"/>
    <w:rsid w:val="00994D5B"/>
    <w:rsid w:val="009B32F8"/>
    <w:rsid w:val="009B6078"/>
    <w:rsid w:val="009E6CC2"/>
    <w:rsid w:val="00A3228C"/>
    <w:rsid w:val="00A420B6"/>
    <w:rsid w:val="00AA1C5D"/>
    <w:rsid w:val="00AB37E7"/>
    <w:rsid w:val="00AE6AFA"/>
    <w:rsid w:val="00B00202"/>
    <w:rsid w:val="00C23AA0"/>
    <w:rsid w:val="00C44367"/>
    <w:rsid w:val="00C46163"/>
    <w:rsid w:val="00C57268"/>
    <w:rsid w:val="00CA04EB"/>
    <w:rsid w:val="00CA2EFC"/>
    <w:rsid w:val="00D13998"/>
    <w:rsid w:val="00D15E6B"/>
    <w:rsid w:val="00DB2608"/>
    <w:rsid w:val="00DE144A"/>
    <w:rsid w:val="00E02F79"/>
    <w:rsid w:val="00E13B22"/>
    <w:rsid w:val="00E47B7C"/>
    <w:rsid w:val="00E47D80"/>
    <w:rsid w:val="00FB5C0F"/>
    <w:rsid w:val="053C40B7"/>
    <w:rsid w:val="0C3D3BE1"/>
    <w:rsid w:val="293A2CE7"/>
    <w:rsid w:val="2E5F49DA"/>
    <w:rsid w:val="553D62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5"/>
    <w:semiHidden/>
    <w:unhideWhenUsed/>
    <w:qFormat/>
    <w:uiPriority w:val="99"/>
    <w:rPr>
      <w:sz w:val="18"/>
      <w:szCs w:val="18"/>
    </w:rPr>
  </w:style>
  <w:style w:type="character" w:customStyle="1" w:styleId="5">
    <w:name w:val="批注框文本 Char"/>
    <w:basedOn w:val="4"/>
    <w:link w:val="2"/>
    <w:semiHidden/>
    <w:qFormat/>
    <w:uiPriority w:val="99"/>
    <w:rPr>
      <w:sz w:val="18"/>
      <w:szCs w:val="18"/>
    </w:r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774807-80DD-46F9-B0FA-A7EB48BF74FB}">
  <ds:schemaRefs/>
</ds:datastoreItem>
</file>

<file path=docProps/app.xml><?xml version="1.0" encoding="utf-8"?>
<Properties xmlns="http://schemas.openxmlformats.org/officeDocument/2006/extended-properties" xmlns:vt="http://schemas.openxmlformats.org/officeDocument/2006/docPropsVTypes">
  <Template>Normal</Template>
  <Pages>1</Pages>
  <Words>54409</Words>
  <Characters>310133</Characters>
  <Lines>2584</Lines>
  <Paragraphs>727</Paragraphs>
  <TotalTime>4</TotalTime>
  <ScaleCrop>false</ScaleCrop>
  <LinksUpToDate>false</LinksUpToDate>
  <CharactersWithSpaces>363815</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2021-08-23T03:43:00Z</dcterms:created>
  <dc:creator>cz</dc:creator>
  <cp:lastModifiedBy>Administrator</cp:lastModifiedBy>
  <cp:lastPrinted>2021-08-19T03:05:00Z</cp:lastPrinted>
  <dcterms:modified xsi:type="dcterms:W3CDTF">2021-08-24T09:58:43Z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DD715AD0ABD645BB93108BDAA6345B33</vt:lpwstr>
  </property>
</Properties>
</file>