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FC2" w:rsidRPr="00895FC2" w:rsidRDefault="000C4AE5">
      <w:pPr>
        <w:jc w:val="center"/>
        <w:rPr>
          <w:rFonts w:ascii="黑体" w:eastAsia="黑体" w:hAnsi="黑体"/>
          <w:color w:val="000000" w:themeColor="text1"/>
          <w:sz w:val="36"/>
          <w:szCs w:val="36"/>
        </w:rPr>
      </w:pPr>
      <w:r w:rsidRPr="00895FC2">
        <w:rPr>
          <w:rFonts w:ascii="黑体" w:eastAsia="黑体" w:hAnsi="黑体" w:hint="eastAsia"/>
          <w:color w:val="000000" w:themeColor="text1"/>
          <w:sz w:val="36"/>
          <w:szCs w:val="36"/>
        </w:rPr>
        <w:t>大同市浑源县市场监督管理局</w:t>
      </w:r>
    </w:p>
    <w:p w:rsidR="00054098" w:rsidRPr="00895FC2" w:rsidRDefault="000C4AE5" w:rsidP="00895FC2">
      <w:pPr>
        <w:jc w:val="center"/>
        <w:rPr>
          <w:rFonts w:ascii="黑体" w:eastAsia="黑体" w:hAnsi="黑体"/>
          <w:color w:val="000000" w:themeColor="text1"/>
          <w:sz w:val="36"/>
          <w:szCs w:val="36"/>
        </w:rPr>
      </w:pPr>
      <w:r w:rsidRPr="00895FC2">
        <w:rPr>
          <w:rFonts w:ascii="黑体" w:eastAsia="黑体" w:hAnsi="黑体" w:hint="eastAsia"/>
          <w:color w:val="000000" w:themeColor="text1"/>
          <w:sz w:val="36"/>
          <w:szCs w:val="36"/>
        </w:rPr>
        <w:t>2020年度部门决算公开说明</w:t>
      </w:r>
    </w:p>
    <w:p w:rsidR="00054098" w:rsidRPr="00895FC2" w:rsidRDefault="000C4AE5">
      <w:pPr>
        <w:rPr>
          <w:rFonts w:ascii="仿宋" w:eastAsia="仿宋" w:hAnsi="仿宋" w:cs="仿宋"/>
          <w:b/>
          <w:color w:val="000000" w:themeColor="text1"/>
          <w:kern w:val="0"/>
          <w:sz w:val="32"/>
          <w:szCs w:val="32"/>
        </w:rPr>
      </w:pPr>
      <w:r w:rsidRPr="00895FC2">
        <w:rPr>
          <w:rFonts w:ascii="仿宋" w:eastAsia="仿宋" w:hAnsi="仿宋" w:cs="仿宋" w:hint="eastAsia"/>
          <w:b/>
          <w:color w:val="000000" w:themeColor="text1"/>
          <w:kern w:val="0"/>
          <w:sz w:val="32"/>
          <w:szCs w:val="32"/>
        </w:rPr>
        <w:t>目录</w:t>
      </w:r>
    </w:p>
    <w:p w:rsidR="00054098" w:rsidRPr="00895FC2" w:rsidRDefault="000C4AE5">
      <w:pPr>
        <w:rPr>
          <w:rFonts w:ascii="仿宋" w:eastAsia="仿宋" w:hAnsi="仿宋" w:cs="仿宋"/>
          <w:b/>
          <w:color w:val="000000" w:themeColor="text1"/>
          <w:kern w:val="0"/>
          <w:sz w:val="32"/>
          <w:szCs w:val="32"/>
        </w:rPr>
      </w:pPr>
      <w:r w:rsidRPr="00895FC2">
        <w:rPr>
          <w:rFonts w:ascii="仿宋" w:eastAsia="仿宋" w:hAnsi="仿宋" w:cs="仿宋" w:hint="eastAsia"/>
          <w:b/>
          <w:color w:val="000000" w:themeColor="text1"/>
          <w:kern w:val="0"/>
          <w:sz w:val="32"/>
          <w:szCs w:val="32"/>
        </w:rPr>
        <w:t>第一部分 部门及单位概况</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一、部门职责</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二、机构设置</w:t>
      </w:r>
    </w:p>
    <w:p w:rsidR="00054098" w:rsidRPr="00895FC2" w:rsidRDefault="000C4AE5">
      <w:pPr>
        <w:rPr>
          <w:rFonts w:ascii="仿宋" w:eastAsia="仿宋" w:hAnsi="仿宋" w:cs="仿宋"/>
          <w:b/>
          <w:color w:val="000000" w:themeColor="text1"/>
          <w:kern w:val="0"/>
          <w:sz w:val="32"/>
          <w:szCs w:val="32"/>
        </w:rPr>
      </w:pPr>
      <w:r w:rsidRPr="00895FC2">
        <w:rPr>
          <w:rFonts w:ascii="仿宋" w:eastAsia="仿宋" w:hAnsi="仿宋" w:cs="仿宋" w:hint="eastAsia"/>
          <w:b/>
          <w:color w:val="000000" w:themeColor="text1"/>
          <w:kern w:val="0"/>
          <w:sz w:val="32"/>
          <w:szCs w:val="32"/>
        </w:rPr>
        <w:t>第二部分 2020年度部门决算公开报表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w:t>
      </w:r>
      <w:proofErr w:type="gramStart"/>
      <w:r w:rsidRPr="00895FC2">
        <w:rPr>
          <w:rFonts w:ascii="仿宋" w:eastAsia="仿宋" w:hAnsi="仿宋" w:cs="仿宋" w:hint="eastAsia"/>
          <w:color w:val="000000" w:themeColor="text1"/>
          <w:kern w:val="0"/>
          <w:sz w:val="32"/>
          <w:szCs w:val="32"/>
        </w:rPr>
        <w:t>一</w:t>
      </w:r>
      <w:proofErr w:type="gramEnd"/>
      <w:r w:rsidRPr="00895FC2">
        <w:rPr>
          <w:rFonts w:ascii="仿宋" w:eastAsia="仿宋" w:hAnsi="仿宋" w:cs="仿宋" w:hint="eastAsia"/>
          <w:color w:val="000000" w:themeColor="text1"/>
          <w:kern w:val="0"/>
          <w:sz w:val="32"/>
          <w:szCs w:val="32"/>
        </w:rPr>
        <w:t>：GK01 收入支出决算总表(公开01表)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表二：GK02 收入决算表(公开02表)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表三：GK03 支出决算表(公开03表)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表四：GK04 财政拨款收入支出决算总表(公开04表)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表五：GK05 一般公共预算财政拨款支出决算表（一）(公开05表)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表六：GK06 一般公共预算财政拨款支出决算表（二）(公开06表)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表七：GK07 一般公共预算财政拨款“三公”经费支出决算表(公开07)</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表八：GK08 政府性基金预算财政拨款收入支出决算表(公开08表)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表九：GK09 国有资本经营预算财政拨款支出决算表(公开09表)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表十：GK10 部门决算公开相关信息统计表(公开10表)</w:t>
      </w:r>
    </w:p>
    <w:p w:rsidR="00054098" w:rsidRPr="00895FC2" w:rsidRDefault="000C4AE5">
      <w:pPr>
        <w:rPr>
          <w:rFonts w:ascii="仿宋" w:eastAsia="仿宋" w:hAnsi="仿宋" w:cs="仿宋"/>
          <w:b/>
          <w:color w:val="000000" w:themeColor="text1"/>
          <w:kern w:val="0"/>
          <w:sz w:val="32"/>
          <w:szCs w:val="32"/>
        </w:rPr>
      </w:pPr>
      <w:r w:rsidRPr="00895FC2">
        <w:rPr>
          <w:rFonts w:ascii="仿宋" w:eastAsia="仿宋" w:hAnsi="仿宋" w:cs="仿宋" w:hint="eastAsia"/>
          <w:b/>
          <w:color w:val="000000" w:themeColor="text1"/>
          <w:kern w:val="0"/>
          <w:sz w:val="32"/>
          <w:szCs w:val="32"/>
        </w:rPr>
        <w:lastRenderedPageBreak/>
        <w:t>第三部分 2020年度部门决算情况说明</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一、决算收入情况</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二、决算支出情况</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三、“三公”经费情况</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四、机关运行经费情况</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五、政府决算采购情况说明</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六、国有资产占有使用情况</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七、绩效情况说明</w:t>
      </w:r>
    </w:p>
    <w:p w:rsidR="00054098" w:rsidRPr="00895FC2" w:rsidRDefault="000C4AE5">
      <w:pPr>
        <w:rPr>
          <w:rFonts w:ascii="仿宋" w:eastAsia="仿宋" w:hAnsi="仿宋" w:cs="仿宋"/>
          <w:b/>
          <w:color w:val="000000" w:themeColor="text1"/>
          <w:kern w:val="0"/>
          <w:sz w:val="32"/>
          <w:szCs w:val="32"/>
        </w:rPr>
      </w:pPr>
      <w:r w:rsidRPr="00895FC2">
        <w:rPr>
          <w:rFonts w:ascii="仿宋" w:eastAsia="仿宋" w:hAnsi="仿宋" w:cs="仿宋" w:hint="eastAsia"/>
          <w:b/>
          <w:color w:val="000000" w:themeColor="text1"/>
          <w:kern w:val="0"/>
          <w:sz w:val="32"/>
          <w:szCs w:val="32"/>
        </w:rPr>
        <w:t>第四部分 部门名词解释</w:t>
      </w:r>
    </w:p>
    <w:p w:rsidR="00054098" w:rsidRPr="00895FC2" w:rsidRDefault="00054098">
      <w:pPr>
        <w:rPr>
          <w:rFonts w:ascii="仿宋" w:eastAsia="仿宋" w:hAnsi="仿宋" w:cs="仿宋"/>
          <w:b/>
          <w:color w:val="000000" w:themeColor="text1"/>
          <w:kern w:val="0"/>
          <w:sz w:val="32"/>
          <w:szCs w:val="32"/>
        </w:rPr>
      </w:pPr>
    </w:p>
    <w:p w:rsidR="00054098" w:rsidRPr="00895FC2" w:rsidRDefault="000C4AE5">
      <w:pPr>
        <w:rPr>
          <w:rFonts w:ascii="仿宋" w:eastAsia="仿宋" w:hAnsi="仿宋" w:cs="仿宋"/>
          <w:b/>
          <w:color w:val="000000" w:themeColor="text1"/>
          <w:kern w:val="0"/>
          <w:sz w:val="32"/>
          <w:szCs w:val="32"/>
        </w:rPr>
      </w:pPr>
      <w:r w:rsidRPr="00895FC2">
        <w:rPr>
          <w:rFonts w:ascii="仿宋" w:eastAsia="仿宋" w:hAnsi="仿宋" w:cs="仿宋" w:hint="eastAsia"/>
          <w:b/>
          <w:color w:val="000000" w:themeColor="text1"/>
          <w:kern w:val="0"/>
          <w:sz w:val="32"/>
          <w:szCs w:val="32"/>
        </w:rPr>
        <w:t>内容</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第一部分：大同市浑源县市场监督管理局概况</w:t>
      </w:r>
    </w:p>
    <w:p w:rsidR="00054098" w:rsidRPr="00895FC2" w:rsidRDefault="000C4AE5">
      <w:pPr>
        <w:numPr>
          <w:ilvl w:val="0"/>
          <w:numId w:val="1"/>
        </w:num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部门职责</w:t>
      </w:r>
    </w:p>
    <w:p w:rsidR="00054098" w:rsidRPr="00895FC2" w:rsidRDefault="000C4AE5" w:rsidP="00895FC2">
      <w:pPr>
        <w:ind w:firstLineChars="200" w:firstLine="640"/>
        <w:rPr>
          <w:rFonts w:ascii="仿宋_GB2312" w:eastAsia="仿宋_GB2312" w:hAnsi="仿宋"/>
          <w:color w:val="000000" w:themeColor="text1"/>
          <w:sz w:val="32"/>
          <w:szCs w:val="32"/>
        </w:rPr>
      </w:pPr>
      <w:r w:rsidRPr="00895FC2">
        <w:rPr>
          <w:rFonts w:ascii="仿宋_GB2312" w:eastAsia="仿宋_GB2312" w:hAnsi="仿宋" w:hint="eastAsia"/>
          <w:color w:val="000000" w:themeColor="text1"/>
          <w:sz w:val="32"/>
          <w:szCs w:val="32"/>
        </w:rPr>
        <w:t>浑源县市场监督管理局位于山西省大同市浑源县永安镇恒山南路，是浑源</w:t>
      </w:r>
      <w:proofErr w:type="gramStart"/>
      <w:r w:rsidRPr="00895FC2">
        <w:rPr>
          <w:rFonts w:ascii="仿宋_GB2312" w:eastAsia="仿宋_GB2312" w:hAnsi="仿宋" w:hint="eastAsia"/>
          <w:color w:val="000000" w:themeColor="text1"/>
          <w:sz w:val="32"/>
          <w:szCs w:val="32"/>
        </w:rPr>
        <w:t>县区域</w:t>
      </w:r>
      <w:proofErr w:type="gramEnd"/>
      <w:r w:rsidRPr="00895FC2">
        <w:rPr>
          <w:rFonts w:ascii="仿宋_GB2312" w:eastAsia="仿宋_GB2312" w:hAnsi="仿宋" w:hint="eastAsia"/>
          <w:color w:val="000000" w:themeColor="text1"/>
          <w:sz w:val="32"/>
          <w:szCs w:val="32"/>
        </w:rPr>
        <w:t>内主管市场监督管理和行政执法工作的职能部门，负责市场监督管理和行政执法工作，组织开展工商行政管理法律、法规和规章的行政执法检查工作；承担依法规范和维护各类市场经营秩序的责任，维护公平竞争的市场经营秩序；依法承担消费者权益保护责任，组织指导消费维权工作，查处假冒伪劣等违法行为，保护经营者、消费者合法权益；负责反垄断执法工作，依法查处不正当竞争、商业贿赂等经济违法行为；依法实施合同行政监督管理，</w:t>
      </w:r>
      <w:r w:rsidRPr="00895FC2">
        <w:rPr>
          <w:rFonts w:ascii="仿宋_GB2312" w:eastAsia="仿宋_GB2312" w:hAnsi="仿宋" w:hint="eastAsia"/>
          <w:color w:val="000000" w:themeColor="text1"/>
          <w:sz w:val="32"/>
          <w:szCs w:val="32"/>
        </w:rPr>
        <w:lastRenderedPageBreak/>
        <w:t>规范合同行为、负责商标监督管理工作，依法保护注册商标专用权和查处商标侵权行为、负责企业信用信息归集、整理、发布等，加强市场信用分类监管等；</w:t>
      </w:r>
    </w:p>
    <w:p w:rsidR="00054098" w:rsidRPr="00895FC2" w:rsidRDefault="000C4AE5">
      <w:pPr>
        <w:ind w:firstLineChars="200" w:firstLine="640"/>
        <w:rPr>
          <w:rFonts w:ascii="仿宋_GB2312" w:eastAsia="仿宋_GB2312" w:hAnsi="仿宋"/>
          <w:color w:val="000000" w:themeColor="text1"/>
          <w:sz w:val="32"/>
          <w:szCs w:val="32"/>
        </w:rPr>
      </w:pPr>
      <w:r w:rsidRPr="00895FC2">
        <w:rPr>
          <w:rFonts w:ascii="仿宋_GB2312" w:eastAsia="仿宋_GB2312" w:hAnsi="仿宋" w:hint="eastAsia"/>
          <w:color w:val="000000" w:themeColor="text1"/>
          <w:sz w:val="32"/>
          <w:szCs w:val="32"/>
        </w:rPr>
        <w:t>组织推进质量发展工作，管理与质量技术监督有关的技术法规备案，负责地理标志产品保护工作。负责全县宏观质量管理工作，开展宏观质量统计分析，建立完善质量诚信体系；负责全县产品质量监督工作，承担县级监督抽查相关工作，统一编制并组织实施产品质量监督抽查计划，组织开展打击假冒伪劣产品工作，查处违反有关质量技术监督法律、法规行为；管理和指导全县标准化工作、负责统一管理全县计量工作、负责统一管理、监督和协调全县认证认可工作、承担综合管理全县特种设备安全监督管理工作、加强节能减</w:t>
      </w:r>
      <w:proofErr w:type="gramStart"/>
      <w:r w:rsidRPr="00895FC2">
        <w:rPr>
          <w:rFonts w:ascii="仿宋_GB2312" w:eastAsia="仿宋_GB2312" w:hAnsi="仿宋" w:hint="eastAsia"/>
          <w:color w:val="000000" w:themeColor="text1"/>
          <w:sz w:val="32"/>
          <w:szCs w:val="32"/>
        </w:rPr>
        <w:t>排领域</w:t>
      </w:r>
      <w:proofErr w:type="gramEnd"/>
      <w:r w:rsidRPr="00895FC2">
        <w:rPr>
          <w:rFonts w:ascii="仿宋_GB2312" w:eastAsia="仿宋_GB2312" w:hAnsi="仿宋" w:hint="eastAsia"/>
          <w:color w:val="000000" w:themeColor="text1"/>
          <w:sz w:val="32"/>
          <w:szCs w:val="32"/>
        </w:rPr>
        <w:t>的质量技术监督工作等</w:t>
      </w:r>
    </w:p>
    <w:p w:rsidR="00054098" w:rsidRPr="008113CD" w:rsidRDefault="000C4AE5" w:rsidP="008113CD">
      <w:pPr>
        <w:ind w:firstLineChars="200" w:firstLine="640"/>
        <w:rPr>
          <w:rFonts w:ascii="仿宋_GB2312" w:eastAsia="仿宋_GB2312" w:hAnsi="仿宋"/>
          <w:color w:val="000000" w:themeColor="text1"/>
          <w:sz w:val="32"/>
          <w:szCs w:val="32"/>
        </w:rPr>
      </w:pPr>
      <w:r w:rsidRPr="00895FC2">
        <w:rPr>
          <w:rFonts w:ascii="仿宋_GB2312" w:eastAsia="仿宋_GB2312" w:hAnsi="仿宋" w:hint="eastAsia"/>
          <w:color w:val="000000" w:themeColor="text1"/>
          <w:sz w:val="32"/>
          <w:szCs w:val="32"/>
        </w:rPr>
        <w:t>负责执行国家和省、市有关食品、药品、医疗器械和化妆品生产 、流通和消费环节监管。负责实施食品行政许可。建立食品安全隐患治理机制，制定全县食品药品 重大整顿治理方案并组织实施。</w:t>
      </w:r>
      <w:proofErr w:type="gramStart"/>
      <w:r w:rsidRPr="00895FC2">
        <w:rPr>
          <w:rFonts w:ascii="仿宋_GB2312" w:eastAsia="仿宋_GB2312" w:hAnsi="仿宋" w:hint="eastAsia"/>
          <w:color w:val="000000" w:themeColor="text1"/>
          <w:sz w:val="32"/>
          <w:szCs w:val="32"/>
        </w:rPr>
        <w:t>承担县</w:t>
      </w:r>
      <w:proofErr w:type="gramEnd"/>
      <w:r w:rsidRPr="00895FC2">
        <w:rPr>
          <w:rFonts w:ascii="仿宋_GB2312" w:eastAsia="仿宋_GB2312" w:hAnsi="仿宋" w:hint="eastAsia"/>
          <w:color w:val="000000" w:themeColor="text1"/>
          <w:sz w:val="32"/>
          <w:szCs w:val="32"/>
        </w:rPr>
        <w:t>食品安全委员会日常 工作。负责食品安全监督管理综合协调，推动健全协调联动机制等。</w:t>
      </w:r>
    </w:p>
    <w:p w:rsidR="00054098" w:rsidRPr="00895FC2" w:rsidRDefault="000C4AE5">
      <w:pPr>
        <w:numPr>
          <w:ilvl w:val="0"/>
          <w:numId w:val="1"/>
        </w:num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机构设置</w:t>
      </w:r>
    </w:p>
    <w:p w:rsidR="00054098" w:rsidRPr="00895FC2" w:rsidRDefault="000C4AE5">
      <w:pPr>
        <w:snapToGrid w:val="0"/>
        <w:spacing w:line="588" w:lineRule="exact"/>
        <w:ind w:firstLineChars="200" w:firstLine="640"/>
        <w:rPr>
          <w:rFonts w:ascii="仿宋_GB2312" w:eastAsia="仿宋_GB2312" w:hAnsi="仿宋"/>
          <w:color w:val="000000" w:themeColor="text1"/>
          <w:sz w:val="32"/>
          <w:szCs w:val="32"/>
        </w:rPr>
      </w:pPr>
      <w:r w:rsidRPr="00895FC2">
        <w:rPr>
          <w:rFonts w:ascii="仿宋_GB2312" w:eastAsia="仿宋_GB2312" w:hAnsi="仿宋" w:hint="eastAsia"/>
          <w:color w:val="000000" w:themeColor="text1"/>
          <w:sz w:val="32"/>
          <w:szCs w:val="32"/>
        </w:rPr>
        <w:t>我局设个17内设机构，股级建制。分别为办公室、财务股、政策法规股、稽查股、公平交易股、市场规范股、网络商品交易监督管理股、质量标准化计量管理股、特种设备安</w:t>
      </w:r>
      <w:r w:rsidRPr="00895FC2">
        <w:rPr>
          <w:rFonts w:ascii="仿宋_GB2312" w:eastAsia="仿宋_GB2312" w:hAnsi="仿宋" w:hint="eastAsia"/>
          <w:color w:val="000000" w:themeColor="text1"/>
          <w:sz w:val="32"/>
          <w:szCs w:val="32"/>
        </w:rPr>
        <w:lastRenderedPageBreak/>
        <w:t>全监察股、行政审批办公室、食品生产股、食品流通股、药械股、保化股、餐饮股、企业监管大队、质监监管大队。</w:t>
      </w:r>
    </w:p>
    <w:p w:rsidR="00054098" w:rsidRPr="00895FC2" w:rsidRDefault="000C4AE5">
      <w:pPr>
        <w:ind w:firstLineChars="200" w:firstLine="640"/>
        <w:rPr>
          <w:rFonts w:ascii="仿宋_GB2312" w:eastAsia="仿宋_GB2312" w:hAnsi="仿宋"/>
          <w:color w:val="000000" w:themeColor="text1"/>
          <w:sz w:val="32"/>
          <w:szCs w:val="32"/>
        </w:rPr>
      </w:pPr>
      <w:r w:rsidRPr="00895FC2">
        <w:rPr>
          <w:rFonts w:ascii="仿宋_GB2312" w:eastAsia="仿宋_GB2312" w:hAnsi="仿宋" w:hint="eastAsia"/>
          <w:color w:val="000000" w:themeColor="text1"/>
          <w:sz w:val="32"/>
          <w:szCs w:val="32"/>
        </w:rPr>
        <w:t>设18个派出机构，为18个乡镇市场监督管理所。</w:t>
      </w:r>
    </w:p>
    <w:p w:rsidR="00054098" w:rsidRPr="00895FC2" w:rsidRDefault="000C4AE5">
      <w:pPr>
        <w:ind w:firstLineChars="200" w:firstLine="640"/>
        <w:rPr>
          <w:rFonts w:ascii="仿宋_GB2312" w:eastAsia="仿宋_GB2312" w:hAnsi="仿宋"/>
          <w:color w:val="000000" w:themeColor="text1"/>
          <w:sz w:val="32"/>
          <w:szCs w:val="32"/>
        </w:rPr>
      </w:pPr>
      <w:r w:rsidRPr="00895FC2">
        <w:rPr>
          <w:rFonts w:ascii="仿宋_GB2312" w:eastAsia="仿宋_GB2312" w:hAnsi="仿宋" w:hint="eastAsia"/>
          <w:color w:val="000000" w:themeColor="text1"/>
          <w:sz w:val="32"/>
          <w:szCs w:val="32"/>
        </w:rPr>
        <w:t>按照机构改革要求，2020年度我局完成市场综合执法队组建工作，与市场监督管理局是一套人马，设4个执法支队。</w:t>
      </w:r>
    </w:p>
    <w:p w:rsidR="00054098" w:rsidRPr="00087896" w:rsidRDefault="000C4AE5" w:rsidP="00087896">
      <w:pPr>
        <w:snapToGrid w:val="0"/>
        <w:spacing w:line="520" w:lineRule="exact"/>
        <w:ind w:firstLineChars="200" w:firstLine="640"/>
        <w:rPr>
          <w:rFonts w:ascii="仿宋_GB2312" w:eastAsia="仿宋_GB2312" w:hAnsi="仿宋"/>
          <w:color w:val="000000" w:themeColor="text1"/>
          <w:sz w:val="32"/>
          <w:szCs w:val="32"/>
        </w:rPr>
      </w:pPr>
      <w:r w:rsidRPr="00895FC2">
        <w:rPr>
          <w:rFonts w:ascii="仿宋_GB2312" w:eastAsia="仿宋_GB2312" w:hAnsi="仿宋" w:hint="eastAsia"/>
          <w:color w:val="000000" w:themeColor="text1"/>
          <w:sz w:val="32"/>
          <w:szCs w:val="32"/>
        </w:rPr>
        <w:t>另有浑源县质量技术监督检验测试所，副科建制事业单位，未单独核算。</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第二部分：2020年度部门决算公开报表</w:t>
      </w:r>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附件：大同市浑源县市场监督管理局2020年度部门决算公开报表.</w:t>
      </w:r>
      <w:proofErr w:type="spellStart"/>
      <w:proofErr w:type="gramStart"/>
      <w:r w:rsidRPr="00895FC2">
        <w:rPr>
          <w:rFonts w:ascii="仿宋" w:eastAsia="仿宋" w:hAnsi="仿宋" w:cs="仿宋" w:hint="eastAsia"/>
          <w:color w:val="000000" w:themeColor="text1"/>
          <w:kern w:val="0"/>
          <w:sz w:val="32"/>
          <w:szCs w:val="32"/>
        </w:rPr>
        <w:t>xls</w:t>
      </w:r>
      <w:proofErr w:type="spellEnd"/>
      <w:proofErr w:type="gramEnd"/>
    </w:p>
    <w:p w:rsidR="00054098" w:rsidRPr="00895FC2" w:rsidRDefault="000C4AE5">
      <w:pPr>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第三部分：2020年度部门决算情况说明</w:t>
      </w:r>
    </w:p>
    <w:p w:rsidR="00054098" w:rsidRPr="00895FC2" w:rsidRDefault="000C4AE5">
      <w:pPr>
        <w:pStyle w:val="a5"/>
        <w:numPr>
          <w:ilvl w:val="0"/>
          <w:numId w:val="2"/>
        </w:numPr>
        <w:ind w:firstLineChars="2" w:firstLine="6"/>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决算收入情况</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本单位本年度总收入为1753.08万元，上年度总收入为1770.6万元，增减-0.99 %。其中：一般公共预算财政拨款本年度收入为1750.21万元，上年度收入为1767.46万元，增减-0.98 %；政府性基金预算财政拨款本年度收入为0万元，上年度收入为0万元，增减0 %；事业收入本年度收入为0万元，上年度收入为0万元，增减0 %；其他收入本年度收入为2.87万元，上年度收入为3.14万元，增减-8.59%。</w:t>
      </w:r>
    </w:p>
    <w:p w:rsidR="00054098" w:rsidRPr="00895FC2" w:rsidRDefault="000C4AE5">
      <w:pPr>
        <w:pStyle w:val="a5"/>
        <w:numPr>
          <w:ilvl w:val="0"/>
          <w:numId w:val="2"/>
        </w:numPr>
        <w:ind w:firstLineChars="2" w:firstLine="6"/>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决算支出情况</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本单位本年度总支出为1763.64万元，上年度总支出为1791万元，增减-1.53 %。其中：基本支出本年度支出为</w:t>
      </w:r>
      <w:r w:rsidRPr="00895FC2">
        <w:rPr>
          <w:rFonts w:ascii="仿宋" w:eastAsia="仿宋" w:hAnsi="仿宋" w:cs="仿宋" w:hint="eastAsia"/>
          <w:color w:val="000000" w:themeColor="text1"/>
          <w:kern w:val="0"/>
          <w:sz w:val="32"/>
          <w:szCs w:val="32"/>
        </w:rPr>
        <w:lastRenderedPageBreak/>
        <w:t>1602.83万元，上年度支出为1667.83万元，增减-3.9 %；项目支出本年度支出为160.81万元，上年度支出为123.17万元，增减30.56 %。</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三、“三公”经费情况</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本单位本年度“三公”经费总支出为7.42万元，上年度支出为7.06万元，增减5.04 %；其中：因公出国（境）费本年度支出0万元，上年度支出为0万元，增减0 %；公务用车购置及运行维护费支出为7.35万元，上年度支出为6.64万元，增减10.65 %；公务接待费支出为0.06万元，上年度支出为0.42万元，增减-84.62 %。</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四、机关运行经费情况</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本单位本年度机关运行经费总支出为53.66万元，上年度支出为59.35万元，增减-9.59 %；主要为日常办公费、水电、差旅、印刷、委托业务费等费用。</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五、政府决算采购情况说明</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本单位本年度政府采购总价为35.64万元，其中：货物采购0.74万元，工程采购0万元，服务采购34.9万元。</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六、国有资产占有使用情况</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（1）房屋情况</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截止2020年12月31日， 我单位产权房屋面积为5511.7平方米，价值369.31万元。</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（2）车辆情况</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lastRenderedPageBreak/>
        <w:t xml:space="preserve"> 单位账面车辆为22辆，价值234.82万元。</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七、绩效情况说明</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2020年度，本单位实行绩效目标管理的项目2个。</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第四部分 部门名词解释</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一、财政拨款：财政拨款包括一般公共预算财政拨款、政府性基金预算财政拨款和国有资本经营预算财政拨款。</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二、收入</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1、财政拨款收入：单位本年度从本级财政部门取得的财政拨款，包括一般公共预算财政拨款、政府性基金预算财政</w:t>
      </w:r>
      <w:r w:rsidRPr="00895FC2">
        <w:rPr>
          <w:rFonts w:ascii="仿宋" w:eastAsia="仿宋" w:hAnsi="仿宋" w:cs="仿宋" w:hint="eastAsia"/>
          <w:color w:val="000000" w:themeColor="text1"/>
          <w:kern w:val="0"/>
          <w:sz w:val="32"/>
          <w:szCs w:val="32"/>
        </w:rPr>
        <w:lastRenderedPageBreak/>
        <w:t>拨款和国有资本经营预算财政拨款。</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一级预算单位收到的应拨给下级单位使用的款项，年终决算时尚未拨出的，在编报时列为本单位财政拨款。</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2、上级补助收入：填列事业单位从主管部门和上级单位取得的非财政补助收入。</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3、事业收入：填列事业单位开展专业业务活动及其辅助活动取得的收入；事业单位收到的财政专户实际核拨的教育收费等资金在此反映。</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4、经营收入：填列事业单位在专业业务活动及其辅助活动之外开展非独立核算经营活动取得的收入。</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5、附属单位上缴收入：填列事业单位附独立核算单位按照有关规定上缴的收入。</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事业单位开展专业业务活动及辅助活动并以合同形式从本级财政部门以外的同级单位取得的经费，不在本项反映，应填列在“事业收入”栏。</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三、支出</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lastRenderedPageBreak/>
        <w:t>1、基本支出：填列单位为保障机构正常运转、完成日常工作任务而发生的各项支出。</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2、项目支出：填列单位为完成特定的行政工作任务或事业发展目标，在基本支出之外发生的各项支出。</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3、上缴上级支出：填列事业单位按照财政部门和主管部门的规定上缴上级单位的支出。</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4、经营支出：填列事业单位在专业活动及辅助活动之外开展非独立核算经营活动发生的支出。</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5、附属单位补助支出：填列事业单位用财政补助收入之外的收入对附属单位补助发生的支出。</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6、主管部门在汇总决算时，应使用调整表对“上缴上级支出”“对附属单位补助支出”与收入表中“附属单位上缴收入”“上级补助收入”进行冲抵。</w:t>
      </w:r>
    </w:p>
    <w:p w:rsidR="00054098" w:rsidRPr="00895FC2" w:rsidRDefault="000C4AE5">
      <w:pPr>
        <w:ind w:firstLineChars="200" w:firstLine="640"/>
        <w:rPr>
          <w:rFonts w:ascii="仿宋" w:eastAsia="仿宋" w:hAnsi="仿宋" w:cs="仿宋"/>
          <w:color w:val="000000" w:themeColor="text1"/>
          <w:kern w:val="0"/>
          <w:sz w:val="32"/>
          <w:szCs w:val="32"/>
        </w:rPr>
      </w:pPr>
      <w:r w:rsidRPr="00895FC2">
        <w:rPr>
          <w:rFonts w:ascii="仿宋" w:eastAsia="仿宋" w:hAnsi="仿宋" w:cs="仿宋" w:hint="eastAsia"/>
          <w:color w:val="000000" w:themeColor="text1"/>
          <w:kern w:val="0"/>
          <w:sz w:val="32"/>
          <w:szCs w:val="32"/>
        </w:rPr>
        <w:t>四、“三公”经费：一般公共预算安排的因公出国（境）费、公务用车购置及运行费和公务接待费。</w:t>
      </w:r>
    </w:p>
    <w:p w:rsidR="00054098" w:rsidRPr="00895FC2" w:rsidRDefault="00054098">
      <w:pPr>
        <w:rPr>
          <w:rFonts w:ascii="仿宋" w:eastAsia="仿宋" w:hAnsi="仿宋" w:cs="仿宋"/>
          <w:color w:val="000000" w:themeColor="text1"/>
          <w:sz w:val="32"/>
          <w:szCs w:val="32"/>
        </w:rPr>
      </w:pPr>
    </w:p>
    <w:p w:rsidR="00054098" w:rsidRPr="00895FC2" w:rsidRDefault="00054098">
      <w:pPr>
        <w:rPr>
          <w:rFonts w:ascii="仿宋" w:eastAsia="仿宋" w:hAnsi="仿宋" w:cs="仿宋"/>
          <w:color w:val="000000" w:themeColor="text1"/>
          <w:sz w:val="32"/>
          <w:szCs w:val="32"/>
        </w:rPr>
      </w:pPr>
    </w:p>
    <w:p w:rsidR="00054098" w:rsidRPr="00895FC2" w:rsidRDefault="00054098">
      <w:pPr>
        <w:rPr>
          <w:rFonts w:ascii="仿宋" w:eastAsia="仿宋" w:hAnsi="仿宋" w:cs="仿宋"/>
          <w:color w:val="000000" w:themeColor="text1"/>
          <w:sz w:val="32"/>
          <w:szCs w:val="32"/>
        </w:rPr>
      </w:pPr>
    </w:p>
    <w:p w:rsidR="00054098" w:rsidRDefault="000C4AE5" w:rsidP="000C4AE5">
      <w:pPr>
        <w:ind w:left="5600" w:hangingChars="1750" w:hanging="5600"/>
        <w:sectPr w:rsidR="00054098">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sidR="00BD50A2">
        <w:rPr>
          <w:rFonts w:ascii="仿宋" w:eastAsia="仿宋" w:hAnsi="仿宋" w:cs="仿宋"/>
          <w:sz w:val="32"/>
          <w:szCs w:val="32"/>
        </w:rPr>
        <w:t>1</w:t>
      </w:r>
      <w:bookmarkStart w:id="0" w:name="_GoBack"/>
      <w:bookmarkEnd w:id="0"/>
      <w:r>
        <w:rPr>
          <w:rFonts w:ascii="仿宋" w:eastAsia="仿宋" w:hAnsi="仿宋" w:cs="仿宋" w:hint="eastAsia"/>
          <w:sz w:val="32"/>
          <w:szCs w:val="32"/>
        </w:rPr>
        <w:t>年8月9日</w:t>
      </w:r>
    </w:p>
    <w:p w:rsidR="00054098" w:rsidRDefault="00054098"/>
    <w:sectPr w:rsidR="00054098">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CD6961F"/>
    <w:multiLevelType w:val="singleLevel"/>
    <w:tmpl w:val="ACD6961F"/>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54098"/>
    <w:rsid w:val="000823E4"/>
    <w:rsid w:val="00087896"/>
    <w:rsid w:val="000C4AE5"/>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113CD"/>
    <w:rsid w:val="008623A4"/>
    <w:rsid w:val="00885809"/>
    <w:rsid w:val="00895FC2"/>
    <w:rsid w:val="008C4869"/>
    <w:rsid w:val="008E1E34"/>
    <w:rsid w:val="008E6637"/>
    <w:rsid w:val="00994D5B"/>
    <w:rsid w:val="009B32F8"/>
    <w:rsid w:val="009B6078"/>
    <w:rsid w:val="009E6CC2"/>
    <w:rsid w:val="00A3228C"/>
    <w:rsid w:val="00A420B6"/>
    <w:rsid w:val="00AA1C5D"/>
    <w:rsid w:val="00AB37E7"/>
    <w:rsid w:val="00AE6AFA"/>
    <w:rsid w:val="00B00202"/>
    <w:rsid w:val="00BB0A8B"/>
    <w:rsid w:val="00BD50A2"/>
    <w:rsid w:val="00C23AA0"/>
    <w:rsid w:val="00C44367"/>
    <w:rsid w:val="00C46163"/>
    <w:rsid w:val="00C57268"/>
    <w:rsid w:val="00CA04EB"/>
    <w:rsid w:val="00CA2EFC"/>
    <w:rsid w:val="00D15E6B"/>
    <w:rsid w:val="00DB2608"/>
    <w:rsid w:val="00DE144A"/>
    <w:rsid w:val="00E02F79"/>
    <w:rsid w:val="00E13B22"/>
    <w:rsid w:val="00E47B7C"/>
    <w:rsid w:val="00E47D80"/>
    <w:rsid w:val="00FB5C0F"/>
    <w:rsid w:val="238B58A6"/>
    <w:rsid w:val="31CB7E05"/>
    <w:rsid w:val="58FC1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C769B8-04A1-4D3F-9561-652877E0C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qFormat/>
    <w:pPr>
      <w:spacing w:before="240" w:after="60"/>
      <w:jc w:val="center"/>
      <w:outlineLvl w:val="0"/>
    </w:pPr>
    <w:rPr>
      <w:rFonts w:ascii="Calibri Light" w:hAnsi="Calibri Light" w:cs="Times New Roman"/>
      <w:b/>
      <w:bCs/>
      <w:sz w:val="32"/>
      <w:szCs w:val="32"/>
    </w:rPr>
  </w:style>
  <w:style w:type="paragraph" w:styleId="a4">
    <w:name w:val="Balloon Text"/>
    <w:basedOn w:val="a"/>
    <w:link w:val="Char"/>
    <w:uiPriority w:val="99"/>
    <w:semiHidden/>
    <w:unhideWhenUsed/>
    <w:qFormat/>
    <w:rPr>
      <w:sz w:val="18"/>
      <w:szCs w:val="18"/>
    </w:rPr>
  </w:style>
  <w:style w:type="character" w:customStyle="1" w:styleId="Char">
    <w:name w:val="批注框文本 Char"/>
    <w:basedOn w:val="a1"/>
    <w:link w:val="a4"/>
    <w:uiPriority w:val="99"/>
    <w:semiHidden/>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DB37B8-25D6-4CAD-B3C6-B367CD4B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22</cp:revision>
  <cp:lastPrinted>2021-08-19T03:05:00Z</cp:lastPrinted>
  <dcterms:created xsi:type="dcterms:W3CDTF">2021-08-23T03:43:00Z</dcterms:created>
  <dcterms:modified xsi:type="dcterms:W3CDTF">2021-08-24T08:10:00Z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4035B0018E114DEF82714A9E04DC776C</vt:lpwstr>
  </property>
</Properties>
</file>