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313" w:rsidRDefault="00A70313">
      <w:pPr>
        <w:jc w:val="center"/>
        <w:rPr>
          <w:rFonts w:ascii="黑体" w:eastAsia="黑体" w:hAnsi="黑体"/>
          <w:sz w:val="36"/>
          <w:szCs w:val="36"/>
        </w:rPr>
      </w:pPr>
      <w:r>
        <w:rPr>
          <w:rFonts w:ascii="黑体" w:eastAsia="黑体" w:hAnsi="黑体" w:hint="eastAsia"/>
          <w:sz w:val="36"/>
          <w:szCs w:val="36"/>
        </w:rPr>
        <w:t>2020年度部门决算公开说明</w:t>
      </w:r>
    </w:p>
    <w:p w:rsidR="00083B02" w:rsidRDefault="00A70313">
      <w:pPr>
        <w:jc w:val="center"/>
        <w:rPr>
          <w:rFonts w:ascii="黑体" w:eastAsia="黑体" w:hAnsi="黑体"/>
          <w:sz w:val="36"/>
          <w:szCs w:val="36"/>
        </w:rPr>
      </w:pPr>
      <w:r>
        <w:rPr>
          <w:rFonts w:ascii="黑体" w:eastAsia="黑体" w:hAnsi="黑体" w:hint="eastAsia"/>
          <w:sz w:val="36"/>
          <w:szCs w:val="36"/>
        </w:rPr>
        <w:t>大同市浑源县司法局</w:t>
      </w:r>
    </w:p>
    <w:p w:rsidR="00083B02" w:rsidRDefault="00A70313">
      <w:pPr>
        <w:rPr>
          <w:rFonts w:ascii="黑体" w:eastAsia="黑体" w:hAnsi="黑体"/>
          <w:b/>
          <w:color w:val="333333"/>
          <w:kern w:val="0"/>
          <w:sz w:val="32"/>
          <w:szCs w:val="32"/>
        </w:rPr>
      </w:pPr>
      <w:r>
        <w:rPr>
          <w:rFonts w:ascii="黑体" w:eastAsia="黑体" w:hAnsi="黑体" w:hint="eastAsia"/>
          <w:b/>
          <w:color w:val="333333"/>
          <w:kern w:val="0"/>
          <w:sz w:val="32"/>
          <w:szCs w:val="32"/>
        </w:rPr>
        <w:t>目录</w:t>
      </w:r>
    </w:p>
    <w:p w:rsidR="00083B02" w:rsidRDefault="00A70313">
      <w:pPr>
        <w:rPr>
          <w:rFonts w:ascii="黑体" w:eastAsia="黑体" w:hAnsi="黑体"/>
          <w:b/>
          <w:color w:val="333333"/>
          <w:kern w:val="0"/>
          <w:sz w:val="32"/>
          <w:szCs w:val="32"/>
        </w:rPr>
      </w:pPr>
      <w:r>
        <w:rPr>
          <w:rFonts w:ascii="黑体" w:eastAsia="黑体" w:hAnsi="黑体" w:hint="eastAsia"/>
          <w:b/>
          <w:color w:val="333333"/>
          <w:kern w:val="0"/>
          <w:sz w:val="32"/>
          <w:szCs w:val="32"/>
        </w:rPr>
        <w:t>第一部分 部门</w:t>
      </w:r>
      <w:r>
        <w:rPr>
          <w:rFonts w:ascii="黑体" w:eastAsia="黑体" w:hAnsi="黑体"/>
          <w:b/>
          <w:color w:val="333333"/>
          <w:kern w:val="0"/>
          <w:sz w:val="32"/>
          <w:szCs w:val="32"/>
        </w:rPr>
        <w:t>及单位</w:t>
      </w:r>
      <w:r>
        <w:rPr>
          <w:rFonts w:ascii="黑体" w:eastAsia="黑体" w:hAnsi="黑体" w:hint="eastAsia"/>
          <w:b/>
          <w:color w:val="333333"/>
          <w:kern w:val="0"/>
          <w:sz w:val="32"/>
          <w:szCs w:val="32"/>
        </w:rPr>
        <w:t>概况</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一、部门职责</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二、机构设置</w:t>
      </w:r>
    </w:p>
    <w:p w:rsidR="00083B02" w:rsidRDefault="00A70313">
      <w:pPr>
        <w:rPr>
          <w:rFonts w:ascii="黑体" w:eastAsia="黑体" w:hAnsi="黑体"/>
          <w:b/>
          <w:color w:val="333333"/>
          <w:kern w:val="0"/>
          <w:sz w:val="32"/>
          <w:szCs w:val="32"/>
        </w:rPr>
      </w:pPr>
      <w:r>
        <w:rPr>
          <w:rFonts w:ascii="黑体" w:eastAsia="黑体" w:hAnsi="黑体" w:hint="eastAsia"/>
          <w:b/>
          <w:color w:val="333333"/>
          <w:kern w:val="0"/>
          <w:sz w:val="32"/>
          <w:szCs w:val="32"/>
        </w:rPr>
        <w:t>第二部分 2020年度部门决算公</w:t>
      </w:r>
      <w:r>
        <w:rPr>
          <w:rFonts w:ascii="黑体" w:eastAsia="黑体" w:hAnsi="黑体"/>
          <w:b/>
          <w:color w:val="333333"/>
          <w:kern w:val="0"/>
          <w:sz w:val="32"/>
          <w:szCs w:val="32"/>
        </w:rPr>
        <w:t>开</w:t>
      </w:r>
      <w:r>
        <w:rPr>
          <w:rFonts w:ascii="黑体" w:eastAsia="黑体" w:hAnsi="黑体" w:hint="eastAsia"/>
          <w:b/>
          <w:color w:val="333333"/>
          <w:kern w:val="0"/>
          <w:sz w:val="32"/>
          <w:szCs w:val="32"/>
        </w:rPr>
        <w:t>报表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表一：GK01 收入支出决算总表(公开01表)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表二：GK02 收入决算表(公开02表)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表三：GK03 支出决算表(公开03表)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表四：GK04 财政拨款收入支出决算总表(公开04表)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表五：GK05 一般公共预算财政拨款支出决算表（一）(公开05表)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表六：GK06 一般公共预算财政拨款支出决算表（二）(公开06表)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表七：GK07 一般公共预算财政拨款“三公”经费支出决算表(公开07)</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表八：GK08 政府性基金预算财政拨款收入支出决算表(公开08表)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表九：GK09 国有资本经营预算财政拨款支出决算表(公开09表)</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表</w:t>
      </w:r>
      <w:r>
        <w:rPr>
          <w:rFonts w:ascii="宋体" w:eastAsia="宋体" w:hAnsi="宋体"/>
          <w:color w:val="333333"/>
          <w:kern w:val="0"/>
          <w:sz w:val="32"/>
          <w:szCs w:val="32"/>
        </w:rPr>
        <w:t>十：</w:t>
      </w:r>
      <w:r>
        <w:rPr>
          <w:rFonts w:ascii="宋体" w:eastAsia="宋体" w:hAnsi="宋体" w:hint="eastAsia"/>
          <w:color w:val="333333"/>
          <w:kern w:val="0"/>
          <w:sz w:val="32"/>
          <w:szCs w:val="32"/>
        </w:rPr>
        <w:t>GK10 部门决算公开相关信息统计表(公开10表)</w:t>
      </w:r>
    </w:p>
    <w:p w:rsidR="00083B02" w:rsidRDefault="00A70313">
      <w:pPr>
        <w:rPr>
          <w:rFonts w:ascii="黑体" w:eastAsia="黑体" w:hAnsi="黑体"/>
          <w:b/>
          <w:color w:val="333333"/>
          <w:kern w:val="0"/>
          <w:sz w:val="32"/>
          <w:szCs w:val="32"/>
        </w:rPr>
      </w:pPr>
      <w:r>
        <w:rPr>
          <w:rFonts w:ascii="黑体" w:eastAsia="黑体" w:hAnsi="黑体" w:hint="eastAsia"/>
          <w:b/>
          <w:color w:val="333333"/>
          <w:kern w:val="0"/>
          <w:sz w:val="32"/>
          <w:szCs w:val="32"/>
        </w:rPr>
        <w:lastRenderedPageBreak/>
        <w:t>第三部分 2020年度部门决算情况说明</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一、决算收入情况</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二、决算支出情况</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三、“三公”经费情况</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四、机关运行经费情况</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五、政府决算采购情况说明</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六、国有资产占有使用情况</w:t>
      </w:r>
    </w:p>
    <w:p w:rsidR="00083B02" w:rsidRDefault="00A70313">
      <w:pPr>
        <w:rPr>
          <w:rFonts w:ascii="宋体" w:eastAsia="宋体" w:hAnsi="宋体"/>
          <w:color w:val="333333"/>
          <w:kern w:val="0"/>
          <w:sz w:val="32"/>
          <w:szCs w:val="32"/>
        </w:rPr>
      </w:pPr>
      <w:r>
        <w:rPr>
          <w:rFonts w:ascii="宋体" w:eastAsia="宋体" w:hAnsi="宋体" w:hint="eastAsia"/>
          <w:color w:val="333333"/>
          <w:kern w:val="0"/>
          <w:sz w:val="32"/>
          <w:szCs w:val="32"/>
        </w:rPr>
        <w:t>七、绩效情况说明</w:t>
      </w:r>
    </w:p>
    <w:p w:rsidR="00083B02" w:rsidRDefault="00A70313">
      <w:pPr>
        <w:rPr>
          <w:rFonts w:ascii="黑体" w:eastAsia="黑体" w:hAnsi="黑体"/>
          <w:b/>
          <w:color w:val="333333"/>
          <w:kern w:val="0"/>
          <w:sz w:val="32"/>
          <w:szCs w:val="32"/>
        </w:rPr>
      </w:pPr>
      <w:r>
        <w:rPr>
          <w:rFonts w:ascii="黑体" w:eastAsia="黑体" w:hAnsi="黑体" w:hint="eastAsia"/>
          <w:b/>
          <w:color w:val="333333"/>
          <w:kern w:val="0"/>
          <w:sz w:val="32"/>
          <w:szCs w:val="32"/>
        </w:rPr>
        <w:t>第四部分 部</w:t>
      </w:r>
      <w:r>
        <w:rPr>
          <w:rFonts w:ascii="黑体" w:eastAsia="黑体" w:hAnsi="黑体"/>
          <w:b/>
          <w:color w:val="333333"/>
          <w:kern w:val="0"/>
          <w:sz w:val="32"/>
          <w:szCs w:val="32"/>
        </w:rPr>
        <w:t>门</w:t>
      </w:r>
      <w:r>
        <w:rPr>
          <w:rFonts w:ascii="黑体" w:eastAsia="黑体" w:hAnsi="黑体" w:hint="eastAsia"/>
          <w:b/>
          <w:color w:val="333333"/>
          <w:kern w:val="0"/>
          <w:sz w:val="32"/>
          <w:szCs w:val="32"/>
        </w:rPr>
        <w:t>名词解释</w:t>
      </w:r>
    </w:p>
    <w:p w:rsidR="00083B02" w:rsidRDefault="00083B02">
      <w:pPr>
        <w:rPr>
          <w:rFonts w:ascii="黑体" w:eastAsia="黑体" w:hAnsi="黑体"/>
          <w:b/>
          <w:color w:val="333333"/>
          <w:kern w:val="0"/>
          <w:sz w:val="32"/>
          <w:szCs w:val="32"/>
        </w:rPr>
      </w:pPr>
    </w:p>
    <w:p w:rsidR="00083B02" w:rsidRDefault="00A70313">
      <w:pPr>
        <w:rPr>
          <w:rFonts w:ascii="黑体" w:eastAsia="黑体" w:hAnsi="黑体"/>
          <w:b/>
          <w:color w:val="333333"/>
          <w:kern w:val="0"/>
          <w:sz w:val="32"/>
          <w:szCs w:val="32"/>
        </w:rPr>
      </w:pPr>
      <w:r>
        <w:rPr>
          <w:rFonts w:ascii="黑体" w:eastAsia="黑体" w:hAnsi="黑体" w:hint="eastAsia"/>
          <w:b/>
          <w:color w:val="333333"/>
          <w:kern w:val="0"/>
          <w:sz w:val="32"/>
          <w:szCs w:val="32"/>
        </w:rPr>
        <w:t>内</w:t>
      </w:r>
      <w:r>
        <w:rPr>
          <w:rFonts w:ascii="黑体" w:eastAsia="黑体" w:hAnsi="黑体"/>
          <w:b/>
          <w:color w:val="333333"/>
          <w:kern w:val="0"/>
          <w:sz w:val="32"/>
          <w:szCs w:val="32"/>
        </w:rPr>
        <w:t>容</w:t>
      </w:r>
    </w:p>
    <w:p w:rsidR="00083B02" w:rsidRDefault="00A70313">
      <w:pPr>
        <w:rPr>
          <w:rFonts w:ascii="黑体" w:eastAsia="黑体" w:hAnsi="黑体" w:cs="黑体"/>
          <w:sz w:val="32"/>
          <w:szCs w:val="32"/>
        </w:rPr>
      </w:pPr>
      <w:r>
        <w:rPr>
          <w:rFonts w:ascii="黑体" w:eastAsia="黑体" w:hAnsi="黑体" w:cs="黑体" w:hint="eastAsia"/>
          <w:sz w:val="32"/>
          <w:szCs w:val="32"/>
        </w:rPr>
        <w:t>第一部分：大同市浑源县司法局概况</w:t>
      </w:r>
    </w:p>
    <w:p w:rsidR="00083B02" w:rsidRDefault="00A70313">
      <w:pPr>
        <w:ind w:firstLineChars="200" w:firstLine="643"/>
        <w:rPr>
          <w:rFonts w:ascii="仿宋" w:eastAsia="仿宋" w:hAnsi="仿宋"/>
          <w:b/>
          <w:bCs/>
          <w:sz w:val="32"/>
          <w:szCs w:val="32"/>
        </w:rPr>
      </w:pPr>
      <w:r>
        <w:rPr>
          <w:rFonts w:ascii="仿宋" w:eastAsia="仿宋" w:hAnsi="仿宋" w:hint="eastAsia"/>
          <w:b/>
          <w:bCs/>
          <w:sz w:val="32"/>
          <w:szCs w:val="32"/>
        </w:rPr>
        <w:t>一、部门职责</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浑源县司法局主要职责是：（一）承担全面依法治县重大问题的政策研究，协调有关方面提出全面依法治县中长期规划建议，负责有关重大决策部署督察工作。</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二）承担统筹推进法治政府建设的责任。指导、监督全县依法行政工作。负责综合协调行政执法，承担推进行政执法体制改革有关工作，推进严格规范公正文明执法。指导、监督全县行政复议和行政应诉工作，负责行政复议和行政应诉案件办理工作。承办行政赔偿及行政裁决案件的相关工作。承担县人民政府法律顾问工作。</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lastRenderedPageBreak/>
        <w:t>（三）承担统筹规划法治社会建设的责任。负责拟订法治宣传教育规划，组织实施普法宣传工作，组织对外法治宣传。推动人民参与和促进法治建设。指导依法治理和法治创建工作。指导调解工作和人民陪审员、人民监督员选任管理工作，推进司法所建设。</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（四）指导、管理社区矫正工作。指导刑满释放人员帮教安置工作。</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（五）负责拟订全县公共法律服务体系建设规划并指导实施，统筹和布局城乡、区域法律服务资源。指导、监督全县律师、法律援助、公证、司法鉴定、仲裁和基层法律服务管理工作。</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（六）指导、监督本系统法学教育、法学理论研究和司法行政政策理论研究工作。</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（七）负责本系统服装和警车管理工作，指导、监督本系统财务、装备、设施、场所等保障工作。</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（八）指导本系统的对外交流与合作。</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 xml:space="preserve">（九）负责本系统党的建设。规划、协调、指导法治人才队伍建设的相关工作，指导、监督本系统队伍建设。负责本系统警务管理和警务督察工作。按照干部管理权限管理本系统领导班子和领导干部。 </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（十）完成县委县人民政府交办的其他任务。</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（十一）职能转变。以履行县委全面依法治县委员会办</w:t>
      </w:r>
      <w:r>
        <w:rPr>
          <w:rFonts w:ascii="仿宋" w:eastAsia="仿宋" w:hAnsi="仿宋" w:hint="eastAsia"/>
          <w:sz w:val="32"/>
          <w:szCs w:val="32"/>
        </w:rPr>
        <w:lastRenderedPageBreak/>
        <w:t>公室职责为统领，统筹行政执法、刑罚执行、公共法律服务为主要内容的职能体系优化协同高效运转，深入研究谋划法治浑源建设顶层设计，认真开展宪法学习宣传教育活动，大力加强法治政府建设和法治社会建设，加快推进司法行政改革，打造过硬司法行政队伍，充分发挥全系统在全面依法治县中的职能作用。</w:t>
      </w:r>
    </w:p>
    <w:p w:rsidR="00083B02" w:rsidRDefault="00A70313">
      <w:pPr>
        <w:ind w:firstLineChars="200" w:firstLine="643"/>
        <w:rPr>
          <w:rFonts w:ascii="仿宋" w:eastAsia="仿宋" w:hAnsi="仿宋"/>
          <w:b/>
          <w:bCs/>
          <w:sz w:val="32"/>
          <w:szCs w:val="32"/>
        </w:rPr>
      </w:pPr>
      <w:r>
        <w:rPr>
          <w:rFonts w:ascii="仿宋" w:eastAsia="仿宋" w:hAnsi="仿宋" w:hint="eastAsia"/>
          <w:b/>
          <w:bCs/>
          <w:sz w:val="32"/>
          <w:szCs w:val="32"/>
        </w:rPr>
        <w:t>二、机构设置</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浑源县司法局内设有：办公室（机关党办、政工股）、法治股、公共法律服务管理股、基层股、社区矫正管理股、行政执法协调监督股六个股室。</w:t>
      </w:r>
    </w:p>
    <w:p w:rsidR="00083B02" w:rsidRDefault="00A70313">
      <w:pPr>
        <w:rPr>
          <w:rFonts w:ascii="黑体" w:eastAsia="黑体" w:hAnsi="黑体" w:cs="黑体"/>
          <w:sz w:val="32"/>
          <w:szCs w:val="32"/>
        </w:rPr>
      </w:pPr>
      <w:r>
        <w:rPr>
          <w:rFonts w:ascii="黑体" w:eastAsia="黑体" w:hAnsi="黑体" w:cs="黑体" w:hint="eastAsia"/>
          <w:sz w:val="32"/>
          <w:szCs w:val="32"/>
        </w:rPr>
        <w:t>第二部分：2020年度部门决算公开报表</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附件：大同市浑源县司法局2020年度收入支出决算公开报表.xls</w:t>
      </w:r>
    </w:p>
    <w:p w:rsidR="00083B02" w:rsidRDefault="00A70313">
      <w:pPr>
        <w:rPr>
          <w:rFonts w:ascii="黑体" w:eastAsia="黑体" w:hAnsi="黑体" w:cs="黑体"/>
          <w:sz w:val="32"/>
          <w:szCs w:val="32"/>
        </w:rPr>
      </w:pPr>
      <w:r>
        <w:rPr>
          <w:rFonts w:ascii="黑体" w:eastAsia="黑体" w:hAnsi="黑体" w:cs="黑体" w:hint="eastAsia"/>
          <w:sz w:val="32"/>
          <w:szCs w:val="32"/>
        </w:rPr>
        <w:t>第三部分：2020年度部门决算情况说明</w:t>
      </w:r>
    </w:p>
    <w:p w:rsidR="00083B02" w:rsidRDefault="00EA3B90">
      <w:pPr>
        <w:ind w:firstLineChars="200" w:firstLine="640"/>
        <w:rPr>
          <w:rFonts w:ascii="仿宋" w:eastAsia="仿宋" w:hAnsi="仿宋"/>
          <w:sz w:val="32"/>
          <w:szCs w:val="32"/>
        </w:rPr>
      </w:pPr>
      <w:r>
        <w:rPr>
          <w:rFonts w:ascii="仿宋" w:eastAsia="仿宋" w:hAnsi="仿宋" w:hint="eastAsia"/>
          <w:sz w:val="32"/>
          <w:szCs w:val="32"/>
        </w:rPr>
        <w:t>一</w:t>
      </w:r>
      <w:r w:rsidR="00A70313">
        <w:rPr>
          <w:rFonts w:ascii="仿宋" w:eastAsia="仿宋" w:hAnsi="仿宋" w:hint="eastAsia"/>
          <w:sz w:val="32"/>
          <w:szCs w:val="32"/>
        </w:rPr>
        <w:t>、决算收入情况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本单位本年度总收入为842.14万元，上年度总收入为750.03万元，增减12.28 %。其中：一般公共预算财政拨款本年度收入为842.13万元，上年度收入为750.03万元，增减12.28 %；政府性基金预算财政拨款本年度收入为0万元，上年度收入为0万元，增减0 %；事业收入本年度收入为0万元，上年度收入为0万元，增减0 %；其他收入本年度收入为0万元，上年度收入为0万元，增减12.32%。</w:t>
      </w:r>
    </w:p>
    <w:p w:rsidR="00083B02" w:rsidRDefault="00EA3B90">
      <w:pPr>
        <w:ind w:firstLineChars="200" w:firstLine="640"/>
        <w:rPr>
          <w:rFonts w:ascii="仿宋" w:eastAsia="仿宋" w:hAnsi="仿宋"/>
          <w:sz w:val="32"/>
          <w:szCs w:val="32"/>
        </w:rPr>
      </w:pPr>
      <w:r>
        <w:rPr>
          <w:rFonts w:ascii="仿宋" w:eastAsia="仿宋" w:hAnsi="仿宋" w:hint="eastAsia"/>
          <w:sz w:val="32"/>
          <w:szCs w:val="32"/>
        </w:rPr>
        <w:lastRenderedPageBreak/>
        <w:t>二</w:t>
      </w:r>
      <w:bookmarkStart w:id="0" w:name="_GoBack"/>
      <w:bookmarkEnd w:id="0"/>
      <w:r w:rsidR="00A70313">
        <w:rPr>
          <w:rFonts w:ascii="仿宋" w:eastAsia="仿宋" w:hAnsi="仿宋" w:hint="eastAsia"/>
          <w:sz w:val="32"/>
          <w:szCs w:val="32"/>
        </w:rPr>
        <w:t>、决算支出情况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本单位本年度总支出为842.13万元，上年度总支出为750.03万元，增减12.28 %。其中：基本支出本年度支出为600.96万元，上年度支出为595.21万元，增减0.97 %；项目支出本年度支出为241.17万元，上年度支出为154.82万元，增减55.77 %。</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三、“三公”经费情况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本单位本年度“三公”经费总支出为6.46万元，上年度支出为2.24万元，增减188.66 %；其中：因公出国（境）费本年度支出0万元，上年度支出为0万元，增减0 %；公务用车购置及运行维护费支出为6.46万元，上年度支出为2.24万元，增减188.66 %；公务接待费支出为0万元，上年度支出为0万元，增减0 %。</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四、机关运行经费情况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本单位本年度机关运行经费总支出为45.84万元，上年度支出为44.71万元，增减2.51 %；主要为日常办公费、水电、差旅、印刷、委托业务费等费用。</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五、政府决算采购情况说明</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本单位本年度政府采购总价为7.15万元，其中：货物采购7.15万元，工程采购0万元，服务采购0万元。</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六、国有资产占有使用情况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（1）房屋情况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lastRenderedPageBreak/>
        <w:t>截止2020年12月31日， 我单位产权房屋面积为0平方米，价值0万元。</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（2）车辆情况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 xml:space="preserve"> 单位账面车辆为6辆，价值63.37万元。</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七、绩效情况说明</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2020年度，本单位实行绩效目标管理的项目4个。</w:t>
      </w:r>
    </w:p>
    <w:p w:rsidR="00083B02" w:rsidRDefault="00A70313">
      <w:pPr>
        <w:rPr>
          <w:rFonts w:ascii="黑体" w:eastAsia="黑体" w:hAnsi="黑体" w:cs="黑体"/>
          <w:sz w:val="32"/>
          <w:szCs w:val="32"/>
        </w:rPr>
      </w:pPr>
      <w:r>
        <w:rPr>
          <w:rFonts w:ascii="黑体" w:eastAsia="黑体" w:hAnsi="黑体" w:cs="黑体" w:hint="eastAsia"/>
          <w:sz w:val="32"/>
          <w:szCs w:val="32"/>
        </w:rPr>
        <w:t>第四部分 部门名词解释</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一、财政拨款：财政拨款包括一般公共预算财政拨款、政府性基金预算财政拨款和国有资本经营预算财政拨款。</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lastRenderedPageBreak/>
        <w:t>二、收入</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1、财政拨款收入：单位本年度从本级财政部门取得的财政拨款，包括一般公共预算财政拨款、政府性基金预算财政拨款和国有资本经营预算财政拨款。</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一级预算单位收到的应拨给下级单位使用的款项，年终决算时尚未拨出的，在编报时列为本单位财政拨款。</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2、上级补助收入：填列事业单位从主管部门和上级单位取得的非财政补助收入。</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3、事业收入：填列事业单位开展专业业务活动及其辅助活动取得的收入；事业单位收到的财政专户实际核拨的教育收费等资金在此反映。</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4、经营收入：填列事业单位在专业业务活动及其辅助活动之外开展非独立核算经营活动取得的收入。</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5、附属单位上缴收入：填列事业单位附独立核算单位按照有关规定上缴的收入。</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事业单位开展专业业务活动及辅助活动并以合同形式</w:t>
      </w:r>
      <w:r>
        <w:rPr>
          <w:rFonts w:ascii="仿宋" w:eastAsia="仿宋" w:hAnsi="仿宋" w:hint="eastAsia"/>
          <w:sz w:val="32"/>
          <w:szCs w:val="32"/>
        </w:rPr>
        <w:lastRenderedPageBreak/>
        <w:t>从本级财政部门以外的同级单位取得的经费，不在本项反映，应填列在“事业收入”栏。</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三、支出</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1、基本支出：填列单位为保障机构正常运转、完成日常工作任务而发生的各项支出。</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2、项目支出：填列单位为完成特定的行政工作任务或事业发展目标，在基本支出之外发生的各项支出。</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3、上缴上级支出：填列事业单位按照财政部门和主管部门的规定上缴上级单位的支出。</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4、经营支出：填列事业单位在专业活动及辅助活动之外开展非独立核算经营活动发生的支出。</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5、附属单位补助支出：填列事业单位用财政补助收入之外的收入对附属单位补助发生的支出。</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6、主管部门在汇总决算时，应使用调整表对“上缴上级支出”“对附属单位补助支出”与收入表中“附属单位上缴收入”“上级补助收入”进行冲抵。</w:t>
      </w:r>
    </w:p>
    <w:p w:rsidR="00083B02" w:rsidRDefault="00A70313">
      <w:pPr>
        <w:ind w:firstLineChars="200" w:firstLine="640"/>
        <w:rPr>
          <w:rFonts w:ascii="仿宋" w:eastAsia="仿宋" w:hAnsi="仿宋"/>
          <w:sz w:val="32"/>
          <w:szCs w:val="32"/>
        </w:rPr>
      </w:pPr>
      <w:r>
        <w:rPr>
          <w:rFonts w:ascii="仿宋" w:eastAsia="仿宋" w:hAnsi="仿宋" w:hint="eastAsia"/>
          <w:sz w:val="32"/>
          <w:szCs w:val="32"/>
        </w:rPr>
        <w:t>四、“三公”经费：一般公共预算安排的因公出国（境）费、公务用车购置及运行费和公务接待费。</w:t>
      </w:r>
    </w:p>
    <w:p w:rsidR="00083B02" w:rsidRDefault="00083B02">
      <w:pPr>
        <w:ind w:firstLineChars="200" w:firstLine="640"/>
        <w:rPr>
          <w:rFonts w:ascii="仿宋" w:eastAsia="仿宋" w:hAnsi="仿宋"/>
          <w:sz w:val="32"/>
          <w:szCs w:val="32"/>
        </w:rPr>
      </w:pPr>
    </w:p>
    <w:p w:rsidR="00083B02" w:rsidRDefault="00A70313">
      <w:pPr>
        <w:ind w:firstLineChars="200" w:firstLine="640"/>
        <w:jc w:val="right"/>
      </w:pPr>
      <w:r>
        <w:rPr>
          <w:rFonts w:ascii="仿宋" w:eastAsia="仿宋" w:hAnsi="仿宋" w:hint="eastAsia"/>
          <w:sz w:val="32"/>
          <w:szCs w:val="32"/>
        </w:rPr>
        <w:t xml:space="preserve">                                                    202</w:t>
      </w:r>
      <w:r w:rsidR="00EA3B90">
        <w:rPr>
          <w:rFonts w:ascii="仿宋" w:eastAsia="仿宋" w:hAnsi="仿宋"/>
          <w:sz w:val="32"/>
          <w:szCs w:val="32"/>
        </w:rPr>
        <w:t>1</w:t>
      </w:r>
      <w:r>
        <w:rPr>
          <w:rFonts w:ascii="仿宋" w:eastAsia="仿宋" w:hAnsi="仿宋" w:hint="eastAsia"/>
          <w:sz w:val="32"/>
          <w:szCs w:val="32"/>
        </w:rPr>
        <w:t>年8月9日</w:t>
      </w:r>
    </w:p>
    <w:sectPr w:rsidR="00083B02" w:rsidSect="00083B02">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D85" w:rsidRDefault="00F01D85" w:rsidP="00A70313">
      <w:r>
        <w:separator/>
      </w:r>
    </w:p>
  </w:endnote>
  <w:endnote w:type="continuationSeparator" w:id="0">
    <w:p w:rsidR="00F01D85" w:rsidRDefault="00F01D85" w:rsidP="00A7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D85" w:rsidRDefault="00F01D85" w:rsidP="00A70313">
      <w:r>
        <w:separator/>
      </w:r>
    </w:p>
  </w:footnote>
  <w:footnote w:type="continuationSeparator" w:id="0">
    <w:p w:rsidR="00F01D85" w:rsidRDefault="00F01D85" w:rsidP="00A703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85809"/>
    <w:rsid w:val="0001763B"/>
    <w:rsid w:val="00023075"/>
    <w:rsid w:val="000312C8"/>
    <w:rsid w:val="00053CFC"/>
    <w:rsid w:val="000823E4"/>
    <w:rsid w:val="00083B02"/>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70313"/>
    <w:rsid w:val="00AA1C5D"/>
    <w:rsid w:val="00AB37E7"/>
    <w:rsid w:val="00AE6AFA"/>
    <w:rsid w:val="00B00202"/>
    <w:rsid w:val="00C23AA0"/>
    <w:rsid w:val="00C44367"/>
    <w:rsid w:val="00C46163"/>
    <w:rsid w:val="00C57268"/>
    <w:rsid w:val="00CA04EB"/>
    <w:rsid w:val="00CA2EFC"/>
    <w:rsid w:val="00D15E6B"/>
    <w:rsid w:val="00DB2608"/>
    <w:rsid w:val="00DE144A"/>
    <w:rsid w:val="00E02F79"/>
    <w:rsid w:val="00E13B22"/>
    <w:rsid w:val="00E47B7C"/>
    <w:rsid w:val="00E47D80"/>
    <w:rsid w:val="00EA3B90"/>
    <w:rsid w:val="00F01D85"/>
    <w:rsid w:val="00FB5C0F"/>
    <w:rsid w:val="140A75D4"/>
    <w:rsid w:val="1A8C15FA"/>
    <w:rsid w:val="2EA332A2"/>
    <w:rsid w:val="345D5EEE"/>
    <w:rsid w:val="56D64A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FA4D10-3462-4781-81DF-6223D07AA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B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83B02"/>
    <w:rPr>
      <w:sz w:val="18"/>
      <w:szCs w:val="18"/>
    </w:rPr>
  </w:style>
  <w:style w:type="character" w:customStyle="1" w:styleId="Char">
    <w:name w:val="批注框文本 Char"/>
    <w:basedOn w:val="a0"/>
    <w:link w:val="a3"/>
    <w:uiPriority w:val="99"/>
    <w:semiHidden/>
    <w:rsid w:val="00083B02"/>
    <w:rPr>
      <w:sz w:val="18"/>
      <w:szCs w:val="18"/>
    </w:rPr>
  </w:style>
  <w:style w:type="paragraph" w:styleId="a4">
    <w:name w:val="List Paragraph"/>
    <w:basedOn w:val="a"/>
    <w:uiPriority w:val="34"/>
    <w:qFormat/>
    <w:rsid w:val="00083B02"/>
    <w:pPr>
      <w:ind w:firstLineChars="200" w:firstLine="420"/>
    </w:pPr>
  </w:style>
  <w:style w:type="paragraph" w:styleId="a5">
    <w:name w:val="header"/>
    <w:basedOn w:val="a"/>
    <w:link w:val="Char0"/>
    <w:uiPriority w:val="99"/>
    <w:semiHidden/>
    <w:unhideWhenUsed/>
    <w:rsid w:val="00A703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70313"/>
    <w:rPr>
      <w:kern w:val="2"/>
      <w:sz w:val="18"/>
      <w:szCs w:val="18"/>
    </w:rPr>
  </w:style>
  <w:style w:type="paragraph" w:styleId="a6">
    <w:name w:val="footer"/>
    <w:basedOn w:val="a"/>
    <w:link w:val="Char1"/>
    <w:uiPriority w:val="99"/>
    <w:semiHidden/>
    <w:unhideWhenUsed/>
    <w:rsid w:val="00A70313"/>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A7031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A8E70-E7BF-4B88-920E-D2A19B26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526</Words>
  <Characters>3000</Characters>
  <Application>Microsoft Office Word</Application>
  <DocSecurity>0</DocSecurity>
  <Lines>25</Lines>
  <Paragraphs>7</Paragraphs>
  <ScaleCrop>false</ScaleCrop>
  <Company>CHINA</Company>
  <LinksUpToDate>false</LinksUpToDate>
  <CharactersWithSpaces>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3</cp:revision>
  <cp:lastPrinted>2021-08-23T07:58:00Z</cp:lastPrinted>
  <dcterms:created xsi:type="dcterms:W3CDTF">2021-08-23T03:43:00Z</dcterms:created>
  <dcterms:modified xsi:type="dcterms:W3CDTF">2021-08-25T03:36:00Z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947B391F048247EEBF5CAB48F7D4479D</vt:lpwstr>
  </property>
</Properties>
</file>