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color w:val="auto"/>
          <w:sz w:val="36"/>
          <w:szCs w:val="36"/>
        </w:rPr>
      </w:pPr>
      <w:r>
        <w:rPr>
          <w:rFonts w:hint="eastAsia" w:ascii="黑体" w:hAnsi="黑体" w:eastAsia="黑体" w:cs="黑体"/>
          <w:color w:val="auto"/>
          <w:sz w:val="36"/>
          <w:szCs w:val="36"/>
        </w:rPr>
        <w:t>大同市浑源县穆岳小学</w:t>
      </w:r>
    </w:p>
    <w:p>
      <w:pPr>
        <w:jc w:val="center"/>
        <w:rPr>
          <w:rFonts w:hint="eastAsia" w:ascii="黑体" w:hAnsi="黑体" w:eastAsia="黑体" w:cs="黑体"/>
          <w:sz w:val="36"/>
          <w:szCs w:val="36"/>
        </w:rPr>
      </w:pPr>
      <w:r>
        <w:rPr>
          <w:rFonts w:hint="eastAsia" w:ascii="黑体" w:hAnsi="黑体" w:eastAsia="黑体" w:cs="黑体"/>
          <w:sz w:val="36"/>
          <w:szCs w:val="36"/>
        </w:rPr>
        <w:t>2020年度部门决算公开说明</w:t>
      </w:r>
    </w:p>
    <w:p>
      <w:pPr>
        <w:rPr>
          <w:rFonts w:hint="eastAsia"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目录</w:t>
      </w:r>
    </w:p>
    <w:p>
      <w:pPr>
        <w:rPr>
          <w:rFonts w:hint="eastAsia"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第一部分 部门及单位概况</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一、部门职责</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二、机构设置</w:t>
      </w:r>
    </w:p>
    <w:p>
      <w:pPr>
        <w:rPr>
          <w:rFonts w:hint="eastAsia"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第二部分 2020年度部门决算公开报表</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表一：GK01 收入支出决算总表(公开01表)</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表二：GK02 收入决算表(公开02表)</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表三：GK03 支出决算表(公开03表)</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表四：GK04 财政拨款收入支出决算总表(公开04表)</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表五：GK05 一般公共预算财政拨款支出决算表（一）(公开05表)</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表六：GK06 一般公共预算财政拨款支出决算表（二）(公开06表)</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表七：GK07 一般公共预算财政拨款“三公”经费支出决算表(公开07)</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表八：GK08 政府性基金预算财政拨款收入支出决算表(公开08表)</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表九：GK09 国有资本经营预算财政拨款支出决算表(公开09表)</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表十：GK10 部门决算公开相关信息统计表(公开10表)</w:t>
      </w:r>
    </w:p>
    <w:p>
      <w:pPr>
        <w:rPr>
          <w:rFonts w:hint="eastAsia"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第三部分 2020年度部门决算情况说明</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一、决算收入情况</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二、决算支出情况</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三、“三公”经费情况</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四、机关运行经费情况</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五、政府决算采购情况说明</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六、国有资产占有使用情况</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七、绩效情况说明</w:t>
      </w:r>
    </w:p>
    <w:p>
      <w:pPr>
        <w:rPr>
          <w:rFonts w:hint="eastAsia"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第四部分 部门名词解释</w:t>
      </w:r>
    </w:p>
    <w:p>
      <w:pPr>
        <w:rPr>
          <w:rFonts w:hint="eastAsia" w:ascii="仿宋_GB2312" w:hAnsi="仿宋_GB2312" w:eastAsia="仿宋_GB2312" w:cs="仿宋_GB2312"/>
          <w:b/>
          <w:color w:val="333333"/>
          <w:kern w:val="0"/>
          <w:sz w:val="32"/>
          <w:szCs w:val="32"/>
        </w:rPr>
      </w:pPr>
    </w:p>
    <w:p>
      <w:pPr>
        <w:rPr>
          <w:rFonts w:hint="eastAsia" w:ascii="仿宋_GB2312" w:hAnsi="仿宋_GB2312" w:eastAsia="仿宋_GB2312" w:cs="仿宋_GB2312"/>
          <w:b/>
          <w:color w:val="333333"/>
          <w:kern w:val="0"/>
          <w:sz w:val="32"/>
          <w:szCs w:val="32"/>
        </w:rPr>
      </w:pPr>
      <w:r>
        <w:rPr>
          <w:rFonts w:hint="eastAsia" w:ascii="仿宋_GB2312" w:hAnsi="仿宋_GB2312" w:eastAsia="仿宋_GB2312" w:cs="仿宋_GB2312"/>
          <w:b/>
          <w:color w:val="333333"/>
          <w:kern w:val="0"/>
          <w:sz w:val="32"/>
          <w:szCs w:val="32"/>
        </w:rPr>
        <w:t>内容</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第一部分：</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大同市浑源县穆岳小学</w:t>
      </w:r>
      <w:r>
        <w:rPr>
          <w:rFonts w:hint="eastAsia" w:ascii="仿宋_GB2312" w:hAnsi="仿宋_GB2312" w:eastAsia="仿宋_GB2312" w:cs="仿宋_GB2312"/>
          <w:color w:val="333333"/>
          <w:kern w:val="0"/>
          <w:sz w:val="32"/>
          <w:szCs w:val="32"/>
        </w:rPr>
        <w:t>概况</w:t>
      </w:r>
    </w:p>
    <w:p>
      <w:pPr>
        <w:numPr>
          <w:ilvl w:val="0"/>
          <w:numId w:val="1"/>
        </w:numPr>
        <w:ind w:firstLine="640" w:firstLineChars="200"/>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rPr>
        <w:t>部门职责</w:t>
      </w:r>
      <w:r>
        <w:rPr>
          <w:rFonts w:hint="eastAsia" w:ascii="仿宋_GB2312" w:hAnsi="仿宋_GB2312" w:eastAsia="仿宋_GB2312" w:cs="仿宋_GB2312"/>
          <w:color w:val="333333"/>
          <w:kern w:val="0"/>
          <w:sz w:val="32"/>
          <w:szCs w:val="32"/>
          <w:lang w:eastAsia="zh-CN"/>
        </w:rPr>
        <w:t>：</w:t>
      </w:r>
    </w:p>
    <w:p>
      <w:pPr>
        <w:numPr>
          <w:ilvl w:val="0"/>
          <w:numId w:val="0"/>
        </w:numPr>
        <w:ind w:firstLine="640" w:firstLineChars="200"/>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lang w:eastAsia="zh-CN"/>
        </w:rPr>
        <w:t>1.研究拟定全校教育发展战略,贯彻执行党和国家的教育方针、政策、法规。</w:t>
      </w:r>
    </w:p>
    <w:p>
      <w:pPr>
        <w:numPr>
          <w:ilvl w:val="0"/>
          <w:numId w:val="0"/>
        </w:numPr>
        <w:ind w:firstLine="640" w:firstLineChars="200"/>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lang w:eastAsia="zh-CN"/>
        </w:rPr>
        <w:t>2.研究拟定学校发展规划和年度计划,组织实施教育体制和办学体制改革。</w:t>
      </w:r>
    </w:p>
    <w:p>
      <w:pPr>
        <w:numPr>
          <w:ilvl w:val="0"/>
          <w:numId w:val="0"/>
        </w:numPr>
        <w:ind w:firstLine="640" w:firstLineChars="200"/>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lang w:eastAsia="zh-CN"/>
        </w:rPr>
        <w:t>3.管理和指导学校基础教育工作;确保义务教育工作成果。</w:t>
      </w:r>
    </w:p>
    <w:p>
      <w:pPr>
        <w:numPr>
          <w:ilvl w:val="0"/>
          <w:numId w:val="0"/>
        </w:numPr>
        <w:ind w:firstLine="640" w:firstLineChars="200"/>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lang w:eastAsia="zh-CN"/>
        </w:rPr>
        <w:t>4.管理学校教育经费;执行财务管理制度。</w:t>
      </w:r>
    </w:p>
    <w:p>
      <w:pPr>
        <w:numPr>
          <w:ilvl w:val="0"/>
          <w:numId w:val="0"/>
        </w:numPr>
        <w:ind w:firstLine="640" w:firstLineChars="200"/>
        <w:rPr>
          <w:rFonts w:hint="eastAsia" w:ascii="仿宋_GB2312" w:hAnsi="仿宋_GB2312" w:eastAsia="仿宋_GB2312" w:cs="仿宋_GB2312"/>
          <w:color w:val="333333"/>
          <w:kern w:val="0"/>
          <w:sz w:val="32"/>
          <w:szCs w:val="32"/>
          <w:lang w:eastAsia="zh-CN"/>
        </w:rPr>
      </w:pPr>
      <w:r>
        <w:rPr>
          <w:rFonts w:hint="eastAsia" w:ascii="仿宋_GB2312" w:hAnsi="仿宋_GB2312" w:eastAsia="仿宋_GB2312" w:cs="仿宋_GB2312"/>
          <w:color w:val="333333"/>
          <w:kern w:val="0"/>
          <w:sz w:val="32"/>
          <w:szCs w:val="32"/>
          <w:lang w:eastAsia="zh-CN"/>
        </w:rPr>
        <w:t>5.负责和指导学校教职工的思想政治工作,规划学校品德教育、体育卫生教育和艺术教育。</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_GB2312" w:hAnsi="仿宋_GB2312" w:eastAsia="仿宋_GB2312" w:cs="仿宋_GB2312"/>
          <w:sz w:val="32"/>
          <w:szCs w:val="32"/>
          <w:lang w:val="en-US" w:eastAsia="zh-CN"/>
        </w:rPr>
      </w:pPr>
    </w:p>
    <w:p>
      <w:pPr>
        <w:ind w:firstLine="640" w:firstLineChars="200"/>
        <w:rPr>
          <w:rFonts w:hint="eastAsia" w:ascii="仿宋_GB2312" w:hAnsi="仿宋_GB2312" w:eastAsia="仿宋_GB2312" w:cs="仿宋_GB2312"/>
          <w:color w:val="333333"/>
          <w:kern w:val="0"/>
          <w:sz w:val="32"/>
          <w:szCs w:val="32"/>
          <w:lang w:val="en-US" w:eastAsia="zh-CN"/>
        </w:rPr>
      </w:pPr>
      <w:r>
        <w:rPr>
          <w:rFonts w:hint="eastAsia" w:ascii="仿宋_GB2312" w:hAnsi="仿宋_GB2312" w:eastAsia="仿宋_GB2312" w:cs="仿宋_GB2312"/>
          <w:color w:val="333333"/>
          <w:kern w:val="0"/>
          <w:sz w:val="32"/>
          <w:szCs w:val="32"/>
        </w:rPr>
        <w:t>二、机构设置</w:t>
      </w:r>
      <w:r>
        <w:rPr>
          <w:rFonts w:hint="eastAsia" w:ascii="仿宋_GB2312" w:hAnsi="仿宋_GB2312" w:eastAsia="仿宋_GB2312" w:cs="仿宋_GB2312"/>
          <w:color w:val="333333"/>
          <w:kern w:val="0"/>
          <w:sz w:val="32"/>
          <w:szCs w:val="32"/>
          <w:lang w:eastAsia="zh-CN"/>
        </w:rPr>
        <w:t>：党支部、校长室、</w:t>
      </w:r>
      <w:r>
        <w:rPr>
          <w:rFonts w:hint="eastAsia" w:ascii="仿宋_GB2312" w:hAnsi="仿宋_GB2312" w:eastAsia="仿宋_GB2312" w:cs="仿宋_GB2312"/>
          <w:color w:val="333333"/>
          <w:kern w:val="0"/>
          <w:sz w:val="32"/>
          <w:szCs w:val="32"/>
          <w:lang w:val="en-US" w:eastAsia="zh-CN"/>
        </w:rPr>
        <w:t>教导处、政教处、总务处、教研室、工会、少先队大队部、医务室</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333333"/>
          <w:kern w:val="0"/>
          <w:sz w:val="32"/>
          <w:szCs w:val="32"/>
        </w:rPr>
        <w:t>附件：</w:t>
      </w:r>
      <w:r>
        <w:rPr>
          <w:rFonts w:hint="eastAsia" w:ascii="仿宋_GB2312" w:hAnsi="仿宋_GB2312" w:eastAsia="仿宋_GB2312" w:cs="仿宋_GB2312"/>
          <w:color w:val="auto"/>
          <w:kern w:val="0"/>
          <w:sz w:val="32"/>
          <w:szCs w:val="32"/>
          <w:highlight w:val="none"/>
        </w:rPr>
        <w:t>大同市浑源县穆岳小学</w:t>
      </w:r>
      <w:r>
        <w:rPr>
          <w:rFonts w:hint="eastAsia" w:ascii="仿宋_GB2312" w:hAnsi="仿宋_GB2312" w:eastAsia="仿宋_GB2312" w:cs="仿宋_GB2312"/>
          <w:color w:val="333333"/>
          <w:kern w:val="0"/>
          <w:sz w:val="32"/>
          <w:szCs w:val="32"/>
        </w:rPr>
        <w:t>2020年度</w:t>
      </w:r>
      <w:r>
        <w:rPr>
          <w:rFonts w:hint="eastAsia" w:ascii="仿宋_GB2312" w:hAnsi="仿宋_GB2312" w:eastAsia="仿宋_GB2312" w:cs="仿宋_GB2312"/>
          <w:color w:val="auto"/>
          <w:kern w:val="0"/>
          <w:sz w:val="32"/>
          <w:szCs w:val="32"/>
          <w:highlight w:val="none"/>
        </w:rPr>
        <w:t>部门决算公开报表</w:t>
      </w:r>
    </w:p>
    <w:p>
      <w:pPr>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第三部分：2020年度部门决算情况说明</w:t>
      </w:r>
    </w:p>
    <w:p>
      <w:pPr>
        <w:pStyle w:val="4"/>
        <w:numPr>
          <w:ilvl w:val="0"/>
          <w:numId w:val="2"/>
        </w:numPr>
        <w:ind w:firstLine="6" w:firstLineChars="2"/>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决算收入情况</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本单位本年度总收入为1269.31万元，上年度总收入为1336.31万元，增减-5.01 %。其中：一般公共预算财政拨款本年度收入为1258.19万元，上年度收入为1331.81万元，增减-5.53 %；政府性基金预算财政拨款本年度收入为5万元，上年度收入为4.5万元，增减11.11 %；事业收入本年度收入为6.12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决算支出情况</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本单位本年度总支出为1267.93万元，上年度总支出为1336.31万元，增减-5.12 %。其中：基本支出本年度支出为1257.94万元，上年度支出为1331.81万元，增减-5.55 %；项目支出本年度支出为9.99万元，上年度支出为4.5万元，增减122.11 %。</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三、“三公”经费情况</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四、机关运行经费情况</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五、政府决算采购情况说明</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六、国有资产占有使用情况</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（1）房屋情况</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截止2020年12月31日， 我单位产权房屋面积为2000平方米，价值26万元。</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（2）车辆情况</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七、绩效情况说明</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2020年度，本单位实行绩效目标管理的项目</w:t>
      </w:r>
      <w:r>
        <w:rPr>
          <w:rFonts w:hint="eastAsia" w:ascii="仿宋_GB2312" w:hAnsi="仿宋_GB2312" w:eastAsia="仿宋_GB2312" w:cs="仿宋_GB2312"/>
          <w:color w:val="333333"/>
          <w:kern w:val="0"/>
          <w:sz w:val="32"/>
          <w:szCs w:val="32"/>
          <w:highlight w:val="none"/>
          <w:lang w:val="en-US" w:eastAsia="zh-CN"/>
        </w:rPr>
        <w:t>2</w:t>
      </w:r>
      <w:r>
        <w:rPr>
          <w:rFonts w:hint="eastAsia" w:ascii="仿宋_GB2312" w:hAnsi="仿宋_GB2312" w:eastAsia="仿宋_GB2312" w:cs="仿宋_GB2312"/>
          <w:color w:val="333333"/>
          <w:kern w:val="0"/>
          <w:sz w:val="32"/>
          <w:szCs w:val="32"/>
          <w:highlight w:val="none"/>
        </w:rPr>
        <w:t>个。</w:t>
      </w:r>
    </w:p>
    <w:p>
      <w:pPr>
        <w:ind w:firstLine="640" w:firstLineChars="200"/>
        <w:rPr>
          <w:rFonts w:hint="eastAsia" w:ascii="仿宋_GB2312" w:hAnsi="仿宋_GB2312" w:eastAsia="仿宋_GB2312" w:cs="仿宋_GB2312"/>
          <w:color w:val="333333"/>
          <w:kern w:val="0"/>
          <w:sz w:val="32"/>
          <w:szCs w:val="32"/>
          <w:highlight w:val="none"/>
        </w:rPr>
      </w:pPr>
      <w:r>
        <w:rPr>
          <w:rFonts w:hint="eastAsia" w:ascii="仿宋_GB2312" w:hAnsi="仿宋_GB2312" w:eastAsia="仿宋_GB2312" w:cs="仿宋_GB2312"/>
          <w:color w:val="333333"/>
          <w:kern w:val="0"/>
          <w:sz w:val="32"/>
          <w:szCs w:val="32"/>
          <w:highlight w:val="none"/>
        </w:rPr>
        <w:t>第四部分 部门名词解释</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二、收入</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2、上级补助收入：填列事业单位从主管部门和上级单位取得的非财政补助收入。</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5、附属单位上缴收入：填列事业单位附独立核算单位按照有关规定上缴的收入。</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三、支出</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333333"/>
          <w:kern w:val="0"/>
          <w:sz w:val="32"/>
          <w:szCs w:val="32"/>
        </w:rPr>
      </w:pPr>
      <w:r>
        <w:rPr>
          <w:rFonts w:hint="eastAsia" w:ascii="仿宋_GB2312" w:hAnsi="仿宋_GB2312" w:eastAsia="仿宋_GB2312" w:cs="仿宋_GB2312"/>
          <w:color w:val="333333"/>
          <w:kern w:val="0"/>
          <w:sz w:val="32"/>
          <w:szCs w:val="32"/>
        </w:rPr>
        <w:t>四、“三公”经费：一般公共预算安排的因公出国（境）费、公务用车购置及运行费和公务接待费。</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ind w:left="5120" w:hanging="5120" w:hangingChars="16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bookmarkStart w:id="0" w:name="_GoBack"/>
      <w:bookmarkEnd w:id="0"/>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AD5D856"/>
    <w:multiLevelType w:val="singleLevel"/>
    <w:tmpl w:val="4AD5D85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058C46FD"/>
    <w:rsid w:val="1A66765B"/>
    <w:rsid w:val="1B7E2842"/>
    <w:rsid w:val="274C634F"/>
    <w:rsid w:val="288C25EC"/>
    <w:rsid w:val="33A53CC1"/>
    <w:rsid w:val="3E0673B0"/>
    <w:rsid w:val="3F943287"/>
    <w:rsid w:val="48A43A71"/>
    <w:rsid w:val="4C904571"/>
    <w:rsid w:val="527833D4"/>
    <w:rsid w:val="55125D27"/>
    <w:rsid w:val="56414841"/>
    <w:rsid w:val="58916580"/>
    <w:rsid w:val="595751F5"/>
    <w:rsid w:val="5EC65223"/>
    <w:rsid w:val="61FB44A2"/>
    <w:rsid w:val="628A61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2021-08-24T10:18:33Z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056D95097955420D923BA1E5A1F9DE4B</vt:lpwstr>
  </property>
</Properties>
</file>