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大同市浑源县第五中学校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21"/>
          <w:highlight w:val="none"/>
        </w:rPr>
      </w:pPr>
      <w:r>
        <w:rPr>
          <w:rFonts w:hint="eastAsia" w:ascii="仿宋_GB2312" w:hAnsi="仿宋_GB2312" w:eastAsia="仿宋_GB2312" w:cs="仿宋_GB2312"/>
          <w:b/>
          <w:color w:val="auto"/>
          <w:kern w:val="0"/>
          <w:sz w:val="32"/>
          <w:szCs w:val="21"/>
          <w:highlight w:val="none"/>
        </w:rPr>
        <w:t>目录</w:t>
      </w:r>
    </w:p>
    <w:p>
      <w:pPr>
        <w:rPr>
          <w:rFonts w:hint="eastAsia" w:ascii="仿宋_GB2312" w:hAnsi="仿宋_GB2312" w:eastAsia="仿宋_GB2312" w:cs="仿宋_GB2312"/>
          <w:b/>
          <w:color w:val="auto"/>
          <w:kern w:val="0"/>
          <w:sz w:val="32"/>
          <w:szCs w:val="21"/>
          <w:highlight w:val="none"/>
        </w:rPr>
      </w:pPr>
      <w:r>
        <w:rPr>
          <w:rFonts w:hint="eastAsia" w:ascii="仿宋_GB2312" w:hAnsi="仿宋_GB2312" w:eastAsia="仿宋_GB2312" w:cs="仿宋_GB2312"/>
          <w:b/>
          <w:color w:val="auto"/>
          <w:kern w:val="0"/>
          <w:sz w:val="32"/>
          <w:szCs w:val="21"/>
          <w:highlight w:val="none"/>
        </w:rPr>
        <w:t>第一部分 部门及单位概况</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一、部门职责</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二、机构设置</w:t>
      </w:r>
    </w:p>
    <w:p>
      <w:pPr>
        <w:rPr>
          <w:rFonts w:hint="eastAsia" w:ascii="仿宋_GB2312" w:hAnsi="仿宋_GB2312" w:eastAsia="仿宋_GB2312" w:cs="仿宋_GB2312"/>
          <w:b/>
          <w:color w:val="auto"/>
          <w:kern w:val="0"/>
          <w:sz w:val="32"/>
          <w:szCs w:val="21"/>
          <w:highlight w:val="none"/>
        </w:rPr>
      </w:pPr>
      <w:r>
        <w:rPr>
          <w:rFonts w:hint="eastAsia" w:ascii="仿宋_GB2312" w:hAnsi="仿宋_GB2312" w:eastAsia="仿宋_GB2312" w:cs="仿宋_GB2312"/>
          <w:b/>
          <w:color w:val="auto"/>
          <w:kern w:val="0"/>
          <w:sz w:val="32"/>
          <w:szCs w:val="21"/>
          <w:highlight w:val="none"/>
        </w:rPr>
        <w:t>第二部分 2020年度部门决算公开报表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表一：GK01 收入支出决算总表(公开01表)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表二：GK02 收入决算表(公开02表)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表三：GK03 支出决算表(公开03表)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表四：GK04 财政拨款收入支出决算总表(公开04表)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表五：GK05 一般公共预算财政拨款支出决算表（一）(公开05表)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表六：GK06 一般公共预算财政拨款支出决算表（二）(公开06表)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表七：GK07 一般公共预算财政拨款“三公”经费支出决算表(公开07)</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表八：GK08 政府性基金预算财政拨款收入支出决算表(公开08表)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表九：GK09 国有资本经营预算财政拨款支出决算表(公开09表)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表十：GK10 部门决算公开相关信息统计表(公开10表)</w:t>
      </w:r>
    </w:p>
    <w:p>
      <w:pPr>
        <w:rPr>
          <w:rFonts w:hint="eastAsia" w:ascii="仿宋_GB2312" w:hAnsi="仿宋_GB2312" w:eastAsia="仿宋_GB2312" w:cs="仿宋_GB2312"/>
          <w:b/>
          <w:color w:val="auto"/>
          <w:kern w:val="0"/>
          <w:sz w:val="32"/>
          <w:szCs w:val="21"/>
          <w:highlight w:val="none"/>
        </w:rPr>
      </w:pPr>
      <w:r>
        <w:rPr>
          <w:rFonts w:hint="eastAsia" w:ascii="仿宋_GB2312" w:hAnsi="仿宋_GB2312" w:eastAsia="仿宋_GB2312" w:cs="仿宋_GB2312"/>
          <w:b/>
          <w:color w:val="auto"/>
          <w:kern w:val="0"/>
          <w:sz w:val="32"/>
          <w:szCs w:val="21"/>
          <w:highlight w:val="none"/>
        </w:rPr>
        <w:t>第三部分 2020年度部门决算情况说明</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一、决算收入情况</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二、决算支出情况</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三、“三公”经费情况</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四、机关运行经费情况</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五、政府决算采购情况说明</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六、国有资产占有使用情况</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七、绩效情况说明</w:t>
      </w:r>
    </w:p>
    <w:p>
      <w:pPr>
        <w:rPr>
          <w:rFonts w:hint="eastAsia" w:ascii="仿宋_GB2312" w:hAnsi="仿宋_GB2312" w:eastAsia="仿宋_GB2312" w:cs="仿宋_GB2312"/>
          <w:b/>
          <w:color w:val="auto"/>
          <w:kern w:val="0"/>
          <w:sz w:val="32"/>
          <w:szCs w:val="21"/>
          <w:highlight w:val="none"/>
        </w:rPr>
      </w:pPr>
      <w:r>
        <w:rPr>
          <w:rFonts w:hint="eastAsia" w:ascii="仿宋_GB2312" w:hAnsi="仿宋_GB2312" w:eastAsia="仿宋_GB2312" w:cs="仿宋_GB2312"/>
          <w:b/>
          <w:color w:val="auto"/>
          <w:kern w:val="0"/>
          <w:sz w:val="32"/>
          <w:szCs w:val="21"/>
          <w:highlight w:val="none"/>
        </w:rPr>
        <w:t>第四部分 部门名词解释</w:t>
      </w:r>
    </w:p>
    <w:p>
      <w:pPr>
        <w:rPr>
          <w:rFonts w:hint="eastAsia" w:ascii="仿宋_GB2312" w:hAnsi="仿宋_GB2312" w:eastAsia="仿宋_GB2312" w:cs="仿宋_GB2312"/>
          <w:b/>
          <w:color w:val="auto"/>
          <w:kern w:val="0"/>
          <w:sz w:val="32"/>
          <w:szCs w:val="21"/>
          <w:highlight w:val="none"/>
        </w:rPr>
      </w:pPr>
    </w:p>
    <w:p>
      <w:pPr>
        <w:rPr>
          <w:rFonts w:hint="eastAsia" w:ascii="仿宋_GB2312" w:hAnsi="仿宋_GB2312" w:eastAsia="仿宋_GB2312" w:cs="仿宋_GB2312"/>
          <w:b/>
          <w:color w:val="auto"/>
          <w:kern w:val="0"/>
          <w:sz w:val="32"/>
          <w:szCs w:val="21"/>
          <w:highlight w:val="none"/>
        </w:rPr>
      </w:pPr>
      <w:r>
        <w:rPr>
          <w:rFonts w:hint="eastAsia" w:ascii="仿宋_GB2312" w:hAnsi="仿宋_GB2312" w:eastAsia="仿宋_GB2312" w:cs="仿宋_GB2312"/>
          <w:b/>
          <w:color w:val="auto"/>
          <w:kern w:val="0"/>
          <w:sz w:val="32"/>
          <w:szCs w:val="21"/>
          <w:highlight w:val="none"/>
        </w:rPr>
        <w:t>内容</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第一部分：大同市浑源县第五中学校概况</w:t>
      </w:r>
    </w:p>
    <w:p>
      <w:pPr>
        <w:numPr>
          <w:ilvl w:val="0"/>
          <w:numId w:val="0"/>
        </w:numPr>
        <w:ind w:firstLine="640" w:firstLineChars="200"/>
        <w:jc w:val="left"/>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一、部门职责</w:t>
      </w:r>
      <w:r>
        <w:rPr>
          <w:rFonts w:hint="eastAsia" w:ascii="仿宋_GB2312" w:hAnsi="仿宋_GB2312" w:eastAsia="仿宋_GB2312" w:cs="仿宋_GB2312"/>
          <w:color w:val="auto"/>
          <w:kern w:val="0"/>
          <w:sz w:val="32"/>
          <w:szCs w:val="21"/>
          <w:highlight w:val="none"/>
          <w:lang w:val="en-US" w:eastAsia="zh-CN"/>
        </w:rPr>
        <w:t>:</w:t>
      </w:r>
      <w:r>
        <w:rPr>
          <w:rFonts w:hint="eastAsia" w:ascii="仿宋_GB2312" w:hAnsi="仿宋_GB2312" w:eastAsia="仿宋_GB2312" w:cs="仿宋_GB2312"/>
          <w:color w:val="auto"/>
          <w:sz w:val="32"/>
          <w:szCs w:val="30"/>
          <w:highlight w:val="none"/>
          <w:lang w:val="en-US" w:eastAsia="zh-CN" w:bidi="ar-SA"/>
        </w:rPr>
        <w:t xml:space="preserve">实施高中教育，促进基础教育发展。高中学历教育（相关社会服务）。管理和指导教育教学研究工作；规划、指导教育现代化和教育信息化工作。 </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二、机构设置</w:t>
      </w:r>
      <w:r>
        <w:rPr>
          <w:rFonts w:hint="eastAsia" w:ascii="仿宋_GB2312" w:hAnsi="仿宋_GB2312" w:eastAsia="仿宋_GB2312" w:cs="仿宋_GB2312"/>
          <w:color w:val="auto"/>
          <w:kern w:val="0"/>
          <w:sz w:val="32"/>
          <w:szCs w:val="21"/>
          <w:highlight w:val="none"/>
          <w:lang w:eastAsia="zh-CN"/>
        </w:rPr>
        <w:t>：学校设有办公室、教务处、总务处、政教处、团委、工会组织负责学校的综合协调、督促检查，教学管理、学生日常管理工作，以及校舍、物资财产等工作。</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21"/>
          <w:highlight w:val="none"/>
        </w:rPr>
        <w:t>附件：大同市浑源县第五中学校2020年度</w:t>
      </w:r>
      <w:r>
        <w:rPr>
          <w:rFonts w:hint="eastAsia" w:ascii="仿宋_GB2312" w:hAnsi="仿宋_GB2312" w:eastAsia="仿宋_GB2312" w:cs="仿宋_GB2312"/>
          <w:color w:val="auto"/>
          <w:kern w:val="0"/>
          <w:sz w:val="32"/>
          <w:szCs w:val="32"/>
          <w:highlight w:val="none"/>
        </w:rPr>
        <w:t>部门决算公开报表</w:t>
      </w:r>
    </w:p>
    <w:p>
      <w:pPr>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第三部分：2020年度部门决算情况说明</w:t>
      </w:r>
    </w:p>
    <w:p>
      <w:pPr>
        <w:pStyle w:val="5"/>
        <w:numPr>
          <w:ilvl w:val="0"/>
          <w:numId w:val="1"/>
        </w:numPr>
        <w:ind w:firstLine="6" w:firstLineChars="2"/>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决算收入情况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本单位本年度总收入为2219.47万元，上年度总收入为2314.61万元，增减-4.11 %。其中：一般公共预算财政拨款本年度收入为2219.47万元，上年度收入为2314.61万元，增减-4.11 %；政府性基金预算财政拨款本年度收入为0万元，上年度收入为0万元，增减0 %；事业收入本年度收入为0万元，上年度收入为0万元，增减0 %；其他收入本年度收入为0万元，上年度收入为0万元，增减0%。</w:t>
      </w:r>
    </w:p>
    <w:p>
      <w:pPr>
        <w:pStyle w:val="5"/>
        <w:numPr>
          <w:ilvl w:val="0"/>
          <w:numId w:val="1"/>
        </w:numPr>
        <w:ind w:firstLine="6" w:firstLineChars="2"/>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决算支出情况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本单位本年度总支出为2219.57万元，上年度总支出为2314.51万元，增减-4.1 %。其中：基本支出本年度支出为2158.07万元，上年度支出为2314.51万元，增减-6.76 %；项目支出本年度支出为61.5万元，上年度支出为0万元，增减0 %。</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三、“三公”经费情况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四、机关运行经费情况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本单位本年度机关运行经费总支出为</w:t>
      </w:r>
      <w:r>
        <w:rPr>
          <w:rFonts w:hint="eastAsia" w:ascii="仿宋_GB2312" w:hAnsi="仿宋_GB2312" w:eastAsia="仿宋_GB2312" w:cs="仿宋_GB2312"/>
          <w:color w:val="auto"/>
          <w:kern w:val="0"/>
          <w:sz w:val="32"/>
          <w:szCs w:val="21"/>
          <w:highlight w:val="none"/>
          <w:lang w:val="en-US" w:eastAsia="zh-CN"/>
        </w:rPr>
        <w:t>0</w:t>
      </w:r>
      <w:r>
        <w:rPr>
          <w:rFonts w:hint="eastAsia" w:ascii="仿宋_GB2312" w:hAnsi="仿宋_GB2312" w:eastAsia="仿宋_GB2312" w:cs="仿宋_GB2312"/>
          <w:color w:val="auto"/>
          <w:kern w:val="0"/>
          <w:sz w:val="32"/>
          <w:szCs w:val="21"/>
          <w:highlight w:val="none"/>
        </w:rPr>
        <w:t>万元，上年度支出为</w:t>
      </w:r>
      <w:r>
        <w:rPr>
          <w:rFonts w:hint="eastAsia" w:ascii="仿宋_GB2312" w:hAnsi="仿宋_GB2312" w:eastAsia="仿宋_GB2312" w:cs="仿宋_GB2312"/>
          <w:color w:val="auto"/>
          <w:kern w:val="0"/>
          <w:sz w:val="32"/>
          <w:szCs w:val="21"/>
          <w:highlight w:val="none"/>
          <w:lang w:val="en-US" w:eastAsia="zh-CN"/>
        </w:rPr>
        <w:t>0</w:t>
      </w:r>
      <w:r>
        <w:rPr>
          <w:rFonts w:hint="eastAsia" w:ascii="仿宋_GB2312" w:hAnsi="仿宋_GB2312" w:eastAsia="仿宋_GB2312" w:cs="仿宋_GB2312"/>
          <w:color w:val="auto"/>
          <w:kern w:val="0"/>
          <w:sz w:val="32"/>
          <w:szCs w:val="21"/>
          <w:highlight w:val="none"/>
        </w:rPr>
        <w:t>万元，增减</w:t>
      </w:r>
      <w:r>
        <w:rPr>
          <w:rFonts w:hint="eastAsia" w:ascii="仿宋_GB2312" w:hAnsi="仿宋_GB2312" w:eastAsia="仿宋_GB2312" w:cs="仿宋_GB2312"/>
          <w:color w:val="auto"/>
          <w:kern w:val="0"/>
          <w:sz w:val="32"/>
          <w:szCs w:val="21"/>
          <w:highlight w:val="none"/>
          <w:lang w:val="en-US" w:eastAsia="zh-CN"/>
        </w:rPr>
        <w:t>-</w:t>
      </w:r>
      <w:r>
        <w:rPr>
          <w:rFonts w:hint="eastAsia" w:ascii="仿宋_GB2312" w:hAnsi="仿宋_GB2312" w:eastAsia="仿宋_GB2312" w:cs="仿宋_GB2312"/>
          <w:color w:val="auto"/>
          <w:kern w:val="0"/>
          <w:sz w:val="32"/>
          <w:szCs w:val="21"/>
          <w:highlight w:val="none"/>
        </w:rPr>
        <w:t>0 %；主要为日常办公费、水电、差旅、印刷、委托业务费等费用。</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五、政府决算采购情况说明</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六、国有资产占有使用情况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（1）房屋情况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截止2020年12月31日， 我单位产权房屋面积为7282平方米，价值312.06万元。</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（2）车辆情况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七、绩效情况说明</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2020年度，本单位实行绩效目标管理的项目</w:t>
      </w:r>
      <w:r>
        <w:rPr>
          <w:rFonts w:hint="eastAsia" w:ascii="仿宋_GB2312" w:hAnsi="仿宋_GB2312" w:eastAsia="仿宋_GB2312" w:cs="仿宋_GB2312"/>
          <w:color w:val="auto"/>
          <w:kern w:val="0"/>
          <w:sz w:val="32"/>
          <w:szCs w:val="21"/>
          <w:highlight w:val="none"/>
          <w:lang w:val="en-US" w:eastAsia="zh-CN"/>
        </w:rPr>
        <w:t>0</w:t>
      </w:r>
      <w:r>
        <w:rPr>
          <w:rFonts w:hint="eastAsia" w:ascii="仿宋_GB2312" w:hAnsi="仿宋_GB2312" w:eastAsia="仿宋_GB2312" w:cs="仿宋_GB2312"/>
          <w:color w:val="auto"/>
          <w:kern w:val="0"/>
          <w:sz w:val="32"/>
          <w:szCs w:val="21"/>
          <w:highlight w:val="none"/>
        </w:rPr>
        <w:t>个。</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第四部分 部门名词解释</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二、收入</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三、支出</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21"/>
          <w:highlight w:val="none"/>
        </w:rPr>
      </w:pPr>
      <w:r>
        <w:rPr>
          <w:rFonts w:hint="eastAsia" w:ascii="仿宋_GB2312" w:hAnsi="仿宋_GB2312" w:eastAsia="仿宋_GB2312" w:cs="仿宋_GB2312"/>
          <w:color w:val="auto"/>
          <w:kern w:val="0"/>
          <w:sz w:val="32"/>
          <w:szCs w:val="21"/>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highlight w:val="none"/>
        </w:rPr>
      </w:pPr>
    </w:p>
    <w:p>
      <w:pPr>
        <w:rPr>
          <w:rFonts w:hint="eastAsia" w:ascii="仿宋_GB2312" w:hAnsi="仿宋_GB2312" w:eastAsia="仿宋_GB2312" w:cs="仿宋_GB2312"/>
          <w:color w:val="auto"/>
          <w:sz w:val="32"/>
          <w:highlight w:val="none"/>
        </w:rPr>
      </w:pPr>
    </w:p>
    <w:p>
      <w:pPr>
        <w:rPr>
          <w:rFonts w:hint="eastAsia" w:ascii="仿宋_GB2312" w:hAnsi="仿宋_GB2312" w:eastAsia="仿宋_GB2312" w:cs="仿宋_GB2312"/>
          <w:color w:val="auto"/>
          <w:sz w:val="32"/>
          <w:highlight w:val="none"/>
        </w:rPr>
      </w:pPr>
    </w:p>
    <w:p>
      <w:pPr>
        <w:ind w:left="4480" w:hanging="4480" w:hangingChars="1400"/>
        <w:jc w:val="both"/>
        <w:rPr>
          <w:color w:val="auto"/>
          <w:highlight w:val="none"/>
        </w:rPr>
      </w:pPr>
      <w:r>
        <w:rPr>
          <w:rFonts w:hint="eastAsia" w:ascii="仿宋_GB2312" w:hAnsi="仿宋_GB2312" w:eastAsia="仿宋_GB2312" w:cs="仿宋_GB2312"/>
          <w:color w:val="auto"/>
          <w:sz w:val="32"/>
          <w:highlight w:val="none"/>
        </w:rPr>
        <w:t xml:space="preserve">                             </w:t>
      </w:r>
      <w:bookmarkStart w:id="0" w:name="_GoBack"/>
      <w:bookmarkEnd w:id="0"/>
      <w:r>
        <w:rPr>
          <w:rFonts w:hint="eastAsia" w:ascii="仿宋_GB2312" w:hAnsi="仿宋_GB2312" w:eastAsia="仿宋_GB2312" w:cs="仿宋_GB2312"/>
          <w:color w:val="auto"/>
          <w:sz w:val="32"/>
          <w:highlight w:val="none"/>
        </w:rPr>
        <w:t>202</w:t>
      </w:r>
      <w:r>
        <w:rPr>
          <w:rFonts w:hint="eastAsia" w:ascii="仿宋_GB2312" w:hAnsi="仿宋_GB2312" w:eastAsia="仿宋_GB2312" w:cs="仿宋_GB2312"/>
          <w:color w:val="auto"/>
          <w:sz w:val="32"/>
          <w:highlight w:val="none"/>
          <w:lang w:val="en-US" w:eastAsia="zh-CN"/>
        </w:rPr>
        <w:t>1</w:t>
      </w:r>
      <w:r>
        <w:rPr>
          <w:rFonts w:hint="eastAsia" w:ascii="仿宋_GB2312" w:hAnsi="仿宋_GB2312" w:eastAsia="仿宋_GB2312" w:cs="仿宋_GB2312"/>
          <w:color w:val="auto"/>
          <w:sz w:val="32"/>
          <w:highlight w:val="none"/>
        </w:rPr>
        <w:t>年8月9日</w:t>
      </w:r>
      <w:r>
        <w:rPr>
          <w:rFonts w:hint="eastAsia" w:eastAsia="仿宋"/>
          <w:color w:val="auto"/>
          <w:sz w:val="32"/>
          <w:highlight w:val="none"/>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9B03BCD"/>
    <w:rsid w:val="21EC15EE"/>
    <w:rsid w:val="273871B3"/>
    <w:rsid w:val="2B5D653B"/>
    <w:rsid w:val="35E078F2"/>
    <w:rsid w:val="6FF16C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customStyle="1" w:styleId="5">
    <w:name w:val="List Paragraph"/>
    <w:basedOn w:val="1"/>
    <w:qFormat/>
    <w:uiPriority w:val="34"/>
    <w:pPr>
      <w:ind w:firstLine="420" w:firstLineChars="200"/>
    </w:pPr>
  </w:style>
  <w:style w:type="character" w:customStyle="1" w:styleId="6">
    <w:name w:val="NormalCharacter"/>
    <w:link w:val="1"/>
    <w:semiHidden/>
    <w:qFormat/>
    <w:uiPriority w:val="0"/>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cp:lastPrinted>2021-08-24T04:20:00Z</cp:lastPrinted>
  <dcterms:modified xsi:type="dcterms:W3CDTF">2021-08-24T10:12:31Z</dcterms:modified>
  <dc:title>  大同市浑源县第五中学校2020年度部门决算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