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r>
        <w:rPr>
          <w:rFonts w:hint="eastAsia" w:ascii="黑体" w:hAnsi="黑体" w:eastAsia="黑体"/>
          <w:color w:val="auto"/>
          <w:sz w:val="36"/>
          <w:szCs w:val="36"/>
          <w:shd w:val="clear" w:color="auto" w:fill="auto"/>
        </w:rPr>
        <w:t>大同市浑源县</w:t>
      </w:r>
      <w:r>
        <w:rPr>
          <w:rFonts w:hint="eastAsia" w:ascii="黑体" w:hAnsi="黑体" w:eastAsia="黑体"/>
          <w:color w:val="auto"/>
          <w:sz w:val="36"/>
          <w:szCs w:val="36"/>
          <w:shd w:val="clear" w:color="auto" w:fill="auto"/>
          <w:lang w:val="en-US" w:eastAsia="zh-CN"/>
        </w:rPr>
        <w:t>治理非法超载超限车辆工作服务中心</w:t>
      </w:r>
      <w:r>
        <w:rPr>
          <w:rFonts w:hint="eastAsia" w:ascii="黑体" w:hAnsi="黑体" w:eastAsia="黑体"/>
          <w:sz w:val="36"/>
          <w:szCs w:val="36"/>
        </w:rPr>
        <w:t>2020年度部门决算公开说明</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目录</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第一部分 部门及单位概况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一、部门职责</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二、机构设置</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第二部分 2020年度部门决算公开报表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表一：GK01 收入支出决算总表(公开01表)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表二：GK02 收入决算表(公开02表)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表三：GK03 支出决算表(公开03表)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表四：GK04 财政拨款收入支出决算总表(公开04表)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表五：GK05 一般公共预算财政拨款支出决算表（一）(公开05表)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表六：GK06 一般公共预算财政拨款支出决算表（二）(公开06表)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表七：GK07 一般公共预算财政拨款“三公”经费支出决算表(公开07)</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表八：GK08 政府性基金预算财政拨款收入支出决算表(公开08表)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表九：GK09 国有资本经营预算财政拨款支出决算表(公开09表)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表十：GK10 部门决算公开相关信息统计表(公开10表)</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第三部分 2020年度部门决算情况说明</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一、决算收入情况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二、决算支出情况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第四部分 部门名词解释</w:t>
      </w:r>
    </w:p>
    <w:p>
      <w:pPr>
        <w:rPr>
          <w:rFonts w:hint="eastAsia" w:ascii="仿宋" w:hAnsi="仿宋" w:eastAsia="仿宋" w:cs="仿宋"/>
          <w:b/>
          <w:color w:val="333333"/>
          <w:kern w:val="0"/>
          <w:sz w:val="32"/>
          <w:szCs w:val="32"/>
        </w:rPr>
      </w:pPr>
    </w:p>
    <w:p>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内容</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第一部分：大同市浑源县</w:t>
      </w:r>
      <w:r>
        <w:rPr>
          <w:rFonts w:hint="eastAsia" w:ascii="仿宋" w:hAnsi="仿宋" w:eastAsia="仿宋" w:cs="仿宋"/>
          <w:color w:val="auto"/>
          <w:sz w:val="32"/>
          <w:szCs w:val="32"/>
          <w:highlight w:val="none"/>
          <w:shd w:val="clear" w:color="auto" w:fill="auto"/>
          <w:lang w:val="en-US" w:eastAsia="zh-CN"/>
        </w:rPr>
        <w:t>治理非法超载超限车辆工作服务中心</w:t>
      </w:r>
      <w:r>
        <w:rPr>
          <w:rFonts w:hint="eastAsia" w:ascii="仿宋" w:hAnsi="仿宋" w:eastAsia="仿宋" w:cs="仿宋"/>
          <w:color w:val="auto"/>
          <w:kern w:val="0"/>
          <w:sz w:val="32"/>
          <w:szCs w:val="32"/>
          <w:highlight w:val="none"/>
        </w:rPr>
        <w:t>概况</w:t>
      </w:r>
    </w:p>
    <w:p>
      <w:pPr>
        <w:numPr>
          <w:ilvl w:val="0"/>
          <w:numId w:val="1"/>
        </w:num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部门职责</w:t>
      </w:r>
    </w:p>
    <w:p>
      <w:pPr>
        <w:numPr>
          <w:ilvl w:val="0"/>
          <w:numId w:val="0"/>
        </w:num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1</w:t>
      </w:r>
      <w:r>
        <w:rPr>
          <w:rFonts w:hint="eastAsia" w:ascii="仿宋" w:hAnsi="仿宋" w:eastAsia="仿宋" w:cs="仿宋"/>
          <w:color w:val="auto"/>
          <w:kern w:val="0"/>
          <w:sz w:val="32"/>
          <w:szCs w:val="32"/>
          <w:highlight w:val="none"/>
        </w:rPr>
        <w:t>、负责超限超载检测站点、称重设备、卸载机具的配备和卸载场地的建设。</w:t>
      </w:r>
    </w:p>
    <w:p>
      <w:pPr>
        <w:numPr>
          <w:ilvl w:val="0"/>
          <w:numId w:val="0"/>
        </w:num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、负责对超超载车辆进行检测;</w:t>
      </w:r>
    </w:p>
    <w:p>
      <w:pPr>
        <w:numPr>
          <w:ilvl w:val="0"/>
          <w:numId w:val="0"/>
        </w:num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、负责对检测属实的超限超载车辆，按照规定卸载、处罚、纠正其违法行为，对当事出具相应的法律文书，同时在车辆营运证上登记车辆违章信息;</w:t>
      </w:r>
    </w:p>
    <w:p>
      <w:pPr>
        <w:numPr>
          <w:ilvl w:val="0"/>
          <w:numId w:val="0"/>
        </w:num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、负责对每天超限超载车辆的处理情况进行汇总，并向其上级主管部门报告;</w:t>
      </w:r>
    </w:p>
    <w:p>
      <w:pPr>
        <w:numPr>
          <w:ilvl w:val="0"/>
          <w:numId w:val="0"/>
        </w:num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、负责将《实施方案》规定的鲜活农产品、化学危险品等不能在运输途中实施载处罚的超限超载车辆的违章信息通报车辆源头地省级交通主管部门;</w:t>
      </w:r>
    </w:p>
    <w:p>
      <w:pPr>
        <w:numPr>
          <w:ilvl w:val="0"/>
          <w:numId w:val="0"/>
        </w:num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6</w:t>
      </w:r>
      <w:r>
        <w:rPr>
          <w:rFonts w:hint="eastAsia" w:ascii="仿宋" w:hAnsi="仿宋" w:eastAsia="仿宋" w:cs="仿宋"/>
          <w:color w:val="auto"/>
          <w:kern w:val="0"/>
          <w:sz w:val="32"/>
          <w:szCs w:val="32"/>
          <w:highlight w:val="none"/>
        </w:rPr>
        <w:t xml:space="preserve">、负责承办《实施方案》规定的其他事项。 </w:t>
      </w:r>
    </w:p>
    <w:p>
      <w:pPr>
        <w:numPr>
          <w:ilvl w:val="0"/>
          <w:numId w:val="0"/>
        </w:numP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五不准规定</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1</w:t>
      </w:r>
      <w:r>
        <w:rPr>
          <w:rFonts w:hint="eastAsia" w:ascii="仿宋" w:hAnsi="仿宋" w:eastAsia="仿宋" w:cs="仿宋"/>
          <w:color w:val="auto"/>
          <w:kern w:val="0"/>
          <w:sz w:val="32"/>
          <w:szCs w:val="32"/>
          <w:highlight w:val="none"/>
        </w:rPr>
        <w:t>、 没有执法资格的人员，不准上路执法</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 上路执法人员，不难不开费票据和乱收费、乱罚款</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、车辆没有称重检测的，不准认定超限超载</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、车辆没有卸载消除违章行为的，不准放行</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、同一违章行为已被处罚的，不准再次处罚。</w:t>
      </w:r>
    </w:p>
    <w:p>
      <w:pPr>
        <w:numPr>
          <w:ilvl w:val="0"/>
          <w:numId w:val="0"/>
        </w:numP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执法行为十不准纪律</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1、不准刁难、辱骂、</w:t>
      </w:r>
      <w:r>
        <w:rPr>
          <w:rFonts w:hint="eastAsia" w:ascii="仿宋" w:hAnsi="仿宋" w:eastAsia="仿宋" w:cs="仿宋"/>
          <w:color w:val="auto"/>
          <w:kern w:val="0"/>
          <w:sz w:val="32"/>
          <w:szCs w:val="32"/>
          <w:highlight w:val="none"/>
          <w:lang w:eastAsia="zh-CN"/>
        </w:rPr>
        <w:t>殴打</w:t>
      </w:r>
      <w:r>
        <w:rPr>
          <w:rFonts w:hint="eastAsia" w:ascii="仿宋" w:hAnsi="仿宋" w:eastAsia="仿宋" w:cs="仿宋"/>
          <w:color w:val="auto"/>
          <w:kern w:val="0"/>
          <w:sz w:val="32"/>
          <w:szCs w:val="32"/>
          <w:highlight w:val="none"/>
        </w:rPr>
        <w:t>驾驶员</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2、不准在治理车辆超限超载工作期间饮酒</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3、不准接受与超限超载正常执法有关的吃请或馈赠</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4、不准对同一超限超载违违章行为进行重复处罚</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5、不准利用职权参与或让其亲属朋友参与超限超载车辆实施卸载的经济行为</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6、不准以约定形式收取一定费用而允许车辆进行超限超运输</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7、不准对超限超载车不卸载而单纯实施处罚和收费的行政处罚</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8、不准将罚款和收取的公路补偿费纳入单位的小金库或</w:t>
      </w:r>
      <w:r>
        <w:rPr>
          <w:rFonts w:hint="eastAsia" w:ascii="仿宋" w:hAnsi="仿宋" w:eastAsia="仿宋" w:cs="仿宋"/>
          <w:color w:val="auto"/>
          <w:kern w:val="0"/>
          <w:sz w:val="32"/>
          <w:szCs w:val="32"/>
          <w:highlight w:val="none"/>
          <w:lang w:eastAsia="zh-CN"/>
        </w:rPr>
        <w:t>中饱私囊；</w:t>
      </w:r>
      <w:bookmarkStart w:id="0" w:name="_GoBack"/>
      <w:bookmarkEnd w:id="0"/>
    </w:p>
    <w:p>
      <w:pPr>
        <w:numPr>
          <w:ilvl w:val="0"/>
          <w:numId w:val="0"/>
        </w:numPr>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rPr>
        <w:t>9、不准将超限超载车辆</w:t>
      </w:r>
      <w:r>
        <w:rPr>
          <w:rFonts w:hint="eastAsia" w:ascii="仿宋" w:hAnsi="仿宋" w:eastAsia="仿宋" w:cs="仿宋"/>
          <w:color w:val="auto"/>
          <w:kern w:val="0"/>
          <w:sz w:val="32"/>
          <w:szCs w:val="32"/>
          <w:highlight w:val="none"/>
          <w:lang w:eastAsia="zh-CN"/>
        </w:rPr>
        <w:t>长时间</w:t>
      </w:r>
      <w:r>
        <w:rPr>
          <w:rFonts w:hint="eastAsia" w:ascii="仿宋" w:hAnsi="仿宋" w:eastAsia="仿宋" w:cs="仿宋"/>
          <w:color w:val="auto"/>
          <w:kern w:val="0"/>
          <w:sz w:val="32"/>
          <w:szCs w:val="32"/>
          <w:highlight w:val="none"/>
        </w:rPr>
        <w:t>扣留而不处理</w:t>
      </w:r>
      <w:r>
        <w:rPr>
          <w:rFonts w:hint="eastAsia" w:ascii="仿宋" w:hAnsi="仿宋" w:eastAsia="仿宋" w:cs="仿宋"/>
          <w:color w:val="auto"/>
          <w:kern w:val="0"/>
          <w:sz w:val="32"/>
          <w:szCs w:val="32"/>
          <w:highlight w:val="none"/>
          <w:lang w:eastAsia="zh-CN"/>
        </w:rPr>
        <w:t>；</w:t>
      </w:r>
    </w:p>
    <w:p>
      <w:pPr>
        <w:numPr>
          <w:ilvl w:val="0"/>
          <w:numId w:val="0"/>
        </w:num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10、不准违法扣留运输车辆、车辆营运证、车辆行驶证。</w:t>
      </w:r>
    </w:p>
    <w:p>
      <w:pPr>
        <w:numPr>
          <w:ilvl w:val="0"/>
          <w:numId w:val="0"/>
        </w:numPr>
        <w:rPr>
          <w:rFonts w:hint="eastAsia" w:ascii="仿宋" w:hAnsi="仿宋" w:eastAsia="仿宋" w:cs="仿宋"/>
          <w:color w:val="auto"/>
          <w:kern w:val="0"/>
          <w:sz w:val="32"/>
          <w:szCs w:val="32"/>
          <w:highlight w:val="none"/>
        </w:rPr>
      </w:pPr>
    </w:p>
    <w:p>
      <w:pPr>
        <w:numPr>
          <w:ilvl w:val="0"/>
          <w:numId w:val="1"/>
        </w:numPr>
        <w:ind w:left="0" w:leftChars="0"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机构设置</w:t>
      </w:r>
    </w:p>
    <w:p>
      <w:pPr>
        <w:numPr>
          <w:ilvl w:val="0"/>
          <w:numId w:val="0"/>
        </w:numPr>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本单位内设两个科室</w:t>
      </w:r>
    </w:p>
    <w:p>
      <w:pPr>
        <w:numPr>
          <w:ilvl w:val="0"/>
          <w:numId w:val="2"/>
        </w:numPr>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办公室；</w:t>
      </w:r>
    </w:p>
    <w:p>
      <w:pPr>
        <w:numPr>
          <w:ilvl w:val="0"/>
          <w:numId w:val="2"/>
        </w:numPr>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治超业务股室。</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第二部分：2020年度部门决算公开报表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附件：大同市浑源县</w:t>
      </w:r>
      <w:r>
        <w:rPr>
          <w:rFonts w:hint="eastAsia" w:ascii="仿宋" w:hAnsi="仿宋" w:eastAsia="仿宋" w:cs="仿宋"/>
          <w:color w:val="auto"/>
          <w:sz w:val="32"/>
          <w:szCs w:val="32"/>
          <w:highlight w:val="none"/>
          <w:shd w:val="clear" w:color="auto" w:fill="auto"/>
          <w:lang w:val="en-US" w:eastAsia="zh-CN"/>
        </w:rPr>
        <w:t>治理非法超载超限车辆工作服务中心</w:t>
      </w:r>
      <w:r>
        <w:rPr>
          <w:rFonts w:hint="eastAsia" w:ascii="仿宋" w:hAnsi="仿宋" w:eastAsia="仿宋" w:cs="仿宋"/>
          <w:color w:val="auto"/>
          <w:kern w:val="0"/>
          <w:sz w:val="32"/>
          <w:szCs w:val="32"/>
          <w:highlight w:val="none"/>
        </w:rPr>
        <w:t>2020年度部门决算公开报表.xls</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第三部分：2020年度部门决算情况说明</w:t>
      </w:r>
    </w:p>
    <w:p>
      <w:pPr>
        <w:pStyle w:val="4"/>
        <w:numPr>
          <w:ilvl w:val="0"/>
          <w:numId w:val="3"/>
        </w:numPr>
        <w:ind w:firstLine="6" w:firstLineChars="2"/>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决算收入情况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总收入为6433.88万元，上年度总收入为19491.73万元，增减-66.99 %。其中：一般公共预算财政拨款本年度收入为5393.74万元，上年度收入为18779.86万元，增减-71.28 %；政府性基金预算财政拨款本年度收入为1040.15万元，上年度收入为710.85万元，增减46.32 %；事业收入本年度收入为0万元，上年度收入为0万元，增减0 %；其他收入本年度收入为0万元，上年度收入为1.02万元，增减-100%。</w:t>
      </w:r>
    </w:p>
    <w:p>
      <w:pPr>
        <w:pStyle w:val="4"/>
        <w:numPr>
          <w:ilvl w:val="0"/>
          <w:numId w:val="3"/>
        </w:numPr>
        <w:ind w:firstLine="6" w:firstLineChars="2"/>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决算支出情况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总支出为13271.84万元，上年度总支出为13447.26万元，增减-1.3 %。其中：基本支出本年度支出为725.48万元，上年度支出为761.35万元，增减-4.71 %；项目支出本年度支出为12546.36万元，上年度支出为12685.91万元，增减-1.1 %。</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三、“三公”经费情况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四、机关运行经费情况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本单位本年度机关运行经费总支出为8.32万元，上年度支出为10.42万元，增减-20.15 %；主要为日常办公费、水电、差旅、印刷、委托业务费等费用。</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五、政府决算采购情况说明</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本单位本年度政府采购总价为292.98万元，其中：货物采购0万元，工程采购0万元，服务采购292.98万元。</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六、国有资产占有使用情况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（1）房屋情况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截止2020年12月31日， 我单位产权房屋面积为0平方米，价值0万元。</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（2）车辆情况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xml:space="preserve"> 单位账面车辆为0辆，价值0万元。</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七、绩效情况说明</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2020年度，本单位实行绩效目标管理的项目</w:t>
      </w: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个。</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第四部分 部门名词解释</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二、收入</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2、上级补助收入：填列事业单位从主管部门和上级单位取得的非财政补助收入。</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4、经营收入：填列事业单位在专业业务活动及其辅助活动之外开展非独立核算经营活动取得的收入。</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5、附属单位上缴收入：填列事业单位附独立核算单位按照有关规定上缴的收入。</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三、支出</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1、基本支出：填列单位为保障机构正常运转、完成日常工作任务而发生的各项支出。</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2、项目支出：填列单位为完成特定的行政工作任务或事业发展目标，在基本支出之外发生的各项支出。</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3、上缴上级支出：填列事业单位按照财政部门和主管部门的规定上缴上级单位的支出。</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4、经营支出：填列事业单位在专业活动及辅助活动之外开展非独立核算经营活动发生的支出。</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5、附属单位补助支出：填列事业单位用财政补助收入之外的收入对附属单位补助发生的支出。</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四、“三公”经费：一般公共预算安排的因公出国（境）费、公务用车购置及运行费和公务接待费。</w:t>
      </w:r>
    </w:p>
    <w:p>
      <w:pPr>
        <w:rPr>
          <w:rFonts w:hint="eastAsia" w:ascii="仿宋" w:hAnsi="仿宋" w:eastAsia="仿宋" w:cs="仿宋"/>
          <w:color w:val="auto"/>
          <w:sz w:val="32"/>
          <w:szCs w:val="32"/>
        </w:rPr>
      </w:pPr>
    </w:p>
    <w:p>
      <w:pPr>
        <w:rPr>
          <w:rFonts w:hint="eastAsia" w:ascii="仿宋" w:hAnsi="仿宋" w:eastAsia="仿宋" w:cs="仿宋"/>
          <w:color w:val="auto"/>
          <w:sz w:val="32"/>
          <w:szCs w:val="32"/>
        </w:rPr>
      </w:pPr>
    </w:p>
    <w:p>
      <w:pPr>
        <w:rPr>
          <w:rFonts w:hint="eastAsia" w:ascii="仿宋" w:hAnsi="仿宋" w:eastAsia="仿宋" w:cs="仿宋"/>
          <w:color w:val="auto"/>
          <w:sz w:val="32"/>
          <w:szCs w:val="32"/>
        </w:rPr>
      </w:pPr>
    </w:p>
    <w:p>
      <w:pPr>
        <w:jc w:val="right"/>
        <w:rPr>
          <w:rFonts w:hint="eastAsia" w:ascii="仿宋" w:hAnsi="仿宋" w:eastAsia="仿宋" w:cs="仿宋"/>
          <w:color w:val="auto"/>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auto"/>
          <w:sz w:val="32"/>
          <w:szCs w:val="32"/>
        </w:rPr>
        <w:t xml:space="preserve">                                                         2021年8月9日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D12F09"/>
    <w:multiLevelType w:val="singleLevel"/>
    <w:tmpl w:val="83D12F09"/>
    <w:lvl w:ilvl="0" w:tentative="0">
      <w:start w:val="1"/>
      <w:numFmt w:val="chineseCounting"/>
      <w:suff w:val="nothing"/>
      <w:lvlText w:val="%1、"/>
      <w:lvlJc w:val="left"/>
      <w:rPr>
        <w:rFonts w:hint="eastAsia"/>
      </w:rPr>
    </w:lvl>
  </w:abstractNum>
  <w:abstractNum w:abstractNumId="1">
    <w:nsid w:val="8CD880A1"/>
    <w:multiLevelType w:val="singleLevel"/>
    <w:tmpl w:val="8CD880A1"/>
    <w:lvl w:ilvl="0" w:tentative="0">
      <w:start w:val="1"/>
      <w:numFmt w:val="decimal"/>
      <w:suff w:val="nothing"/>
      <w:lvlText w:val="%1、"/>
      <w:lvlJc w:val="left"/>
    </w:lvl>
  </w:abstractNum>
  <w:abstractNum w:abstractNumId="2">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C0385"/>
    <w:rsid w:val="10AF3EF3"/>
    <w:rsid w:val="12013D7F"/>
    <w:rsid w:val="1A7158C2"/>
    <w:rsid w:val="254F1318"/>
    <w:rsid w:val="34036666"/>
    <w:rsid w:val="3ACE18B3"/>
    <w:rsid w:val="69BE532A"/>
    <w:rsid w:val="75AE5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2021-08-31T01:29:00Z</dcterms:created>
  <dc:creator>lenovo</dc:creator>
  <cp:lastModifiedBy>刘萍</cp:lastModifiedBy>
  <dcterms:modified xsi:type="dcterms:W3CDTF">2026-08-12T01:13:20Z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F1031A21994D4A3F900606F6CE5DD4DE</vt:lpwstr>
  </property>
</Properties>
</file>