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黑体" w:hAnsi="黑体" w:eastAsia="黑体"/>
          <w:color w:val="auto"/>
          <w:sz w:val="36"/>
          <w:szCs w:val="36"/>
        </w:rPr>
      </w:pPr>
      <w:r>
        <w:rPr>
          <w:rFonts w:hint="eastAsia" w:ascii="黑体" w:hAnsi="黑体" w:eastAsia="黑体"/>
          <w:color w:val="auto"/>
          <w:sz w:val="36"/>
          <w:szCs w:val="36"/>
        </w:rPr>
        <w:t>大同市浑源县农村集体经济经营管理站</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黑体" w:hAnsi="黑体" w:eastAsia="黑体"/>
          <w:sz w:val="36"/>
          <w:szCs w:val="36"/>
        </w:rPr>
      </w:pPr>
      <w:r>
        <w:rPr>
          <w:rFonts w:hint="eastAsia" w:ascii="黑体" w:hAnsi="黑体" w:eastAsia="黑体"/>
          <w:sz w:val="36"/>
          <w:szCs w:val="36"/>
        </w:rPr>
        <w:t>2020年度部门决算公开说明</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黑体" w:hAnsi="黑体" w:eastAsia="黑体"/>
          <w:b/>
          <w:color w:val="333333"/>
          <w:kern w:val="0"/>
          <w:sz w:val="30"/>
          <w:szCs w:val="30"/>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ascii="黑体" w:hAnsi="黑体" w:eastAsia="黑体"/>
          <w:b/>
          <w:color w:val="333333"/>
          <w:kern w:val="0"/>
          <w:sz w:val="30"/>
          <w:szCs w:val="30"/>
        </w:rPr>
      </w:pPr>
      <w:r>
        <w:rPr>
          <w:rFonts w:hint="eastAsia" w:ascii="黑体" w:hAnsi="黑体" w:eastAsia="黑体"/>
          <w:b/>
          <w:color w:val="333333"/>
          <w:kern w:val="0"/>
          <w:sz w:val="30"/>
          <w:szCs w:val="30"/>
        </w:rPr>
        <w:t>目录</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ascii="黑体" w:hAnsi="黑体" w:eastAsia="黑体"/>
          <w:b/>
          <w:color w:val="333333"/>
          <w:kern w:val="0"/>
          <w:sz w:val="30"/>
          <w:szCs w:val="30"/>
        </w:rPr>
      </w:pPr>
      <w:r>
        <w:rPr>
          <w:rFonts w:hint="eastAsia" w:ascii="黑体" w:hAnsi="黑体" w:eastAsia="黑体"/>
          <w:b/>
          <w:color w:val="333333"/>
          <w:kern w:val="0"/>
          <w:sz w:val="30"/>
          <w:szCs w:val="30"/>
        </w:rPr>
        <w:t>第一部分 部门</w:t>
      </w:r>
      <w:r>
        <w:rPr>
          <w:rFonts w:ascii="黑体" w:hAnsi="黑体" w:eastAsia="黑体"/>
          <w:b/>
          <w:color w:val="333333"/>
          <w:kern w:val="0"/>
          <w:sz w:val="30"/>
          <w:szCs w:val="30"/>
        </w:rPr>
        <w:t>及单位</w:t>
      </w:r>
      <w:r>
        <w:rPr>
          <w:rFonts w:hint="eastAsia" w:ascii="黑体" w:hAnsi="黑体" w:eastAsia="黑体"/>
          <w:b/>
          <w:color w:val="333333"/>
          <w:kern w:val="0"/>
          <w:sz w:val="30"/>
          <w:szCs w:val="30"/>
        </w:rPr>
        <w:t>概况</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一、部门职责</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二、机构设置</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ascii="黑体" w:hAnsi="黑体" w:eastAsia="黑体"/>
          <w:b/>
          <w:color w:val="333333"/>
          <w:kern w:val="0"/>
          <w:sz w:val="30"/>
          <w:szCs w:val="30"/>
        </w:rPr>
      </w:pPr>
      <w:r>
        <w:rPr>
          <w:rFonts w:hint="eastAsia" w:ascii="黑体" w:hAnsi="黑体" w:eastAsia="黑体"/>
          <w:b/>
          <w:color w:val="333333"/>
          <w:kern w:val="0"/>
          <w:sz w:val="30"/>
          <w:szCs w:val="30"/>
        </w:rPr>
        <w:t>第二部分 2020年度部门决算公</w:t>
      </w:r>
      <w:r>
        <w:rPr>
          <w:rFonts w:ascii="黑体" w:hAnsi="黑体" w:eastAsia="黑体"/>
          <w:b/>
          <w:color w:val="333333"/>
          <w:kern w:val="0"/>
          <w:sz w:val="30"/>
          <w:szCs w:val="30"/>
        </w:rPr>
        <w:t>开</w:t>
      </w:r>
      <w:r>
        <w:rPr>
          <w:rFonts w:hint="eastAsia" w:ascii="黑体" w:hAnsi="黑体" w:eastAsia="黑体"/>
          <w:b/>
          <w:color w:val="333333"/>
          <w:kern w:val="0"/>
          <w:sz w:val="30"/>
          <w:szCs w:val="30"/>
        </w:rPr>
        <w:t>报表</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表一：GK01 收入支出决算总表(公开01表)</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表二：GK02 收入决算表(公开02表)</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表三：GK03 支出决算表(公开03表)</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表四：GK04 财政拨款收入支出决算总表(公开04表)</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表五：GK05 一般公共预算财政拨款支出决算表（一）(公开05表)</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表六：GK06 一般公共预算财政拨款支出决算表（二）(公开06表)</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表七：GK07 一般公共预算财政拨款“三公”经费支出决算表(公开07)</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表八：GK08 政府性基金预算财政拨款收入支出决算表(公开08表)</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表九：GK09 国有资本经营预算财政拨款支出决算表(公开09表)</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表十：GK10 部门决算公开相关信息统计表(公开10表)</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ascii="黑体" w:hAnsi="黑体" w:eastAsia="黑体"/>
          <w:b/>
          <w:color w:val="333333"/>
          <w:kern w:val="0"/>
          <w:sz w:val="30"/>
          <w:szCs w:val="30"/>
        </w:rPr>
      </w:pPr>
      <w:r>
        <w:rPr>
          <w:rFonts w:hint="eastAsia" w:ascii="黑体" w:hAnsi="黑体" w:eastAsia="黑体"/>
          <w:b/>
          <w:color w:val="333333"/>
          <w:kern w:val="0"/>
          <w:sz w:val="30"/>
          <w:szCs w:val="30"/>
        </w:rPr>
        <w:t>第三部分 2020年度部门决算情况说明</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一、决算收入情况</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二、决算支出情况</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三、“三公”经费情况</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四、机关运行经费情况</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五、政府决算采购情况说明</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六、国有资产占有使用情况</w:t>
      </w:r>
      <w:bookmarkStart w:id="0" w:name="_GoBack"/>
      <w:bookmarkEnd w:id="0"/>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七、绩效情况说明</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ascii="黑体" w:hAnsi="黑体" w:eastAsia="黑体"/>
          <w:b/>
          <w:color w:val="333333"/>
          <w:kern w:val="0"/>
          <w:sz w:val="30"/>
          <w:szCs w:val="30"/>
        </w:rPr>
      </w:pPr>
      <w:r>
        <w:rPr>
          <w:rFonts w:hint="eastAsia" w:ascii="黑体" w:hAnsi="黑体" w:eastAsia="黑体"/>
          <w:b/>
          <w:color w:val="333333"/>
          <w:kern w:val="0"/>
          <w:sz w:val="30"/>
          <w:szCs w:val="30"/>
        </w:rPr>
        <w:t>第四部分 部</w:t>
      </w:r>
      <w:r>
        <w:rPr>
          <w:rFonts w:ascii="黑体" w:hAnsi="黑体" w:eastAsia="黑体"/>
          <w:b/>
          <w:color w:val="333333"/>
          <w:kern w:val="0"/>
          <w:sz w:val="30"/>
          <w:szCs w:val="30"/>
        </w:rPr>
        <w:t>门</w:t>
      </w:r>
      <w:r>
        <w:rPr>
          <w:rFonts w:hint="eastAsia" w:ascii="黑体" w:hAnsi="黑体" w:eastAsia="黑体"/>
          <w:b/>
          <w:color w:val="333333"/>
          <w:kern w:val="0"/>
          <w:sz w:val="30"/>
          <w:szCs w:val="30"/>
        </w:rPr>
        <w:t>名词解释</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ascii="黑体" w:hAnsi="黑体" w:eastAsia="黑体"/>
          <w:b/>
          <w:color w:val="333333"/>
          <w:kern w:val="0"/>
          <w:sz w:val="30"/>
          <w:szCs w:val="30"/>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ascii="黑体" w:hAnsi="黑体" w:eastAsia="黑体"/>
          <w:b/>
          <w:color w:val="333333"/>
          <w:kern w:val="0"/>
          <w:sz w:val="30"/>
          <w:szCs w:val="30"/>
          <w:highlight w:val="none"/>
        </w:rPr>
      </w:pPr>
      <w:r>
        <w:rPr>
          <w:rFonts w:hint="eastAsia" w:ascii="黑体" w:hAnsi="黑体" w:eastAsia="黑体"/>
          <w:b/>
          <w:color w:val="333333"/>
          <w:kern w:val="0"/>
          <w:sz w:val="30"/>
          <w:szCs w:val="30"/>
          <w:highlight w:val="none"/>
        </w:rPr>
        <w:t>内</w:t>
      </w:r>
      <w:r>
        <w:rPr>
          <w:rFonts w:ascii="黑体" w:hAnsi="黑体" w:eastAsia="黑体"/>
          <w:b/>
          <w:color w:val="333333"/>
          <w:kern w:val="0"/>
          <w:sz w:val="30"/>
          <w:szCs w:val="30"/>
          <w:highlight w:val="none"/>
        </w:rPr>
        <w:t>容</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ascii="黑体" w:hAnsi="黑体" w:eastAsia="黑体"/>
          <w:color w:val="auto"/>
          <w:kern w:val="0"/>
          <w:sz w:val="30"/>
          <w:szCs w:val="30"/>
          <w:highlight w:val="none"/>
        </w:rPr>
      </w:pPr>
      <w:r>
        <w:rPr>
          <w:rFonts w:hint="eastAsia" w:ascii="黑体" w:hAnsi="黑体" w:eastAsia="黑体"/>
          <w:color w:val="333333"/>
          <w:kern w:val="0"/>
          <w:sz w:val="30"/>
          <w:szCs w:val="30"/>
          <w:highlight w:val="none"/>
        </w:rPr>
        <w:t>第一部分</w:t>
      </w:r>
      <w:r>
        <w:rPr>
          <w:rFonts w:hint="eastAsia" w:ascii="黑体" w:hAnsi="黑体" w:eastAsia="黑体"/>
          <w:color w:val="auto"/>
          <w:kern w:val="0"/>
          <w:sz w:val="30"/>
          <w:szCs w:val="30"/>
          <w:highlight w:val="none"/>
        </w:rPr>
        <w:t>：大同市浑源县农村集体经济经营管理站概况</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2" w:firstLine="643" w:firstLineChars="200"/>
        <w:textAlignment w:val="auto"/>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lang w:eastAsia="zh-CN"/>
        </w:rPr>
        <w:t>一、</w:t>
      </w:r>
      <w:r>
        <w:rPr>
          <w:rFonts w:hint="eastAsia" w:ascii="仿宋" w:hAnsi="仿宋" w:eastAsia="仿宋" w:cs="仿宋"/>
          <w:b/>
          <w:bCs/>
          <w:color w:val="auto"/>
          <w:kern w:val="0"/>
          <w:sz w:val="32"/>
          <w:szCs w:val="32"/>
          <w:highlight w:val="none"/>
        </w:rPr>
        <w:t>部门职责</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1.承担农民负担监督管理职能，全面落实各项制度，认真做好信访工作，严厉查处涉及农民负担的违法违纪案件。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2.承担农村土地承包及流转管理职能，搞好承包合同的签证、调整和仲裁工作，稳定和完善农村土地承包关系。</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3.承担农村集体财务与资产监督管理职能，加强农村集体资产和财务管理，开展财务公开、民主理财活动。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4.承担农村集体经济组织财务审计监督职能，保护农村集体经济组织及其成员的合法权益，促进农村集体经济发展。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0"/>
          <w:szCs w:val="30"/>
          <w:highlight w:val="none"/>
        </w:rPr>
      </w:pPr>
      <w:r>
        <w:rPr>
          <w:rFonts w:hint="eastAsia" w:ascii="仿宋" w:hAnsi="仿宋" w:eastAsia="仿宋" w:cs="仿宋"/>
          <w:sz w:val="32"/>
          <w:szCs w:val="32"/>
        </w:rPr>
        <w:t>5.承办县委、县人民政府、县农业委员会交办的其他事项。</w:t>
      </w:r>
    </w:p>
    <w:p>
      <w:pPr>
        <w:pStyle w:val="5"/>
        <w:keepNext w:val="0"/>
        <w:keepLines w:val="0"/>
        <w:pageBreakBefore w:val="0"/>
        <w:widowControl w:val="0"/>
        <w:numPr>
          <w:numId w:val="0"/>
        </w:numPr>
        <w:kinsoku/>
        <w:wordWrap/>
        <w:overflowPunct/>
        <w:topLinePunct w:val="0"/>
        <w:autoSpaceDE/>
        <w:autoSpaceDN/>
        <w:bidi w:val="0"/>
        <w:adjustRightInd/>
        <w:snapToGrid/>
        <w:spacing w:line="540" w:lineRule="exact"/>
        <w:ind w:leftChars="2" w:firstLine="643" w:firstLineChars="200"/>
        <w:textAlignment w:val="auto"/>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二、机构设置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内设机构</w:t>
      </w:r>
      <w:r>
        <w:rPr>
          <w:rFonts w:hint="eastAsia" w:ascii="仿宋" w:hAnsi="仿宋" w:eastAsia="仿宋" w:cs="仿宋"/>
          <w:sz w:val="32"/>
          <w:szCs w:val="32"/>
          <w:lang w:val="en-US" w:eastAsia="zh-CN"/>
        </w:rPr>
        <w:t>3个</w:t>
      </w:r>
      <w:r>
        <w:rPr>
          <w:rFonts w:hint="eastAsia" w:ascii="仿宋" w:hAnsi="仿宋" w:eastAsia="仿宋" w:cs="仿宋"/>
          <w:sz w:val="32"/>
          <w:szCs w:val="32"/>
          <w:lang w:eastAsia="zh-CN"/>
        </w:rPr>
        <w:t>：</w:t>
      </w:r>
      <w:r>
        <w:rPr>
          <w:rFonts w:hint="eastAsia" w:ascii="仿宋" w:hAnsi="仿宋" w:eastAsia="仿宋" w:cs="仿宋"/>
          <w:sz w:val="32"/>
          <w:szCs w:val="32"/>
        </w:rPr>
        <w:t>综合办公室</w:t>
      </w:r>
      <w:r>
        <w:rPr>
          <w:rFonts w:hint="eastAsia" w:ascii="仿宋" w:hAnsi="仿宋" w:eastAsia="仿宋" w:cs="仿宋"/>
          <w:sz w:val="32"/>
          <w:szCs w:val="32"/>
          <w:lang w:eastAsia="zh-CN"/>
        </w:rPr>
        <w:t>、</w:t>
      </w:r>
      <w:r>
        <w:rPr>
          <w:rFonts w:hint="eastAsia" w:ascii="仿宋" w:hAnsi="仿宋" w:eastAsia="仿宋" w:cs="仿宋"/>
          <w:sz w:val="32"/>
          <w:szCs w:val="32"/>
        </w:rPr>
        <w:t>三资管理办公室</w:t>
      </w:r>
      <w:r>
        <w:rPr>
          <w:rFonts w:hint="eastAsia" w:ascii="仿宋" w:hAnsi="仿宋" w:eastAsia="仿宋" w:cs="仿宋"/>
          <w:sz w:val="32"/>
          <w:szCs w:val="32"/>
          <w:lang w:eastAsia="zh-CN"/>
        </w:rPr>
        <w:t>、</w:t>
      </w:r>
      <w:r>
        <w:rPr>
          <w:rFonts w:hint="eastAsia" w:ascii="仿宋" w:hAnsi="仿宋" w:eastAsia="仿宋" w:cs="仿宋"/>
          <w:sz w:val="32"/>
          <w:szCs w:val="32"/>
        </w:rPr>
        <w:t>土地管理办公室</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ascii="黑体" w:hAnsi="黑体" w:eastAsia="黑体"/>
          <w:color w:val="auto"/>
          <w:kern w:val="0"/>
          <w:sz w:val="30"/>
          <w:szCs w:val="30"/>
          <w:highlight w:val="none"/>
        </w:rPr>
      </w:pPr>
      <w:r>
        <w:rPr>
          <w:rFonts w:hint="eastAsia" w:ascii="黑体" w:hAnsi="黑体" w:eastAsia="黑体"/>
          <w:color w:val="auto"/>
          <w:kern w:val="0"/>
          <w:sz w:val="30"/>
          <w:szCs w:val="30"/>
          <w:highlight w:val="none"/>
        </w:rPr>
        <w:t>第二部分：2020年度部门决算公开报表</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附件：大同市浑源县农村集体经济经营管理站2020年度部门决算公开报表.xls</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ascii="黑体" w:hAnsi="黑体" w:eastAsia="黑体"/>
          <w:color w:val="auto"/>
          <w:kern w:val="0"/>
          <w:sz w:val="30"/>
          <w:szCs w:val="30"/>
          <w:highlight w:val="none"/>
        </w:rPr>
      </w:pPr>
      <w:r>
        <w:rPr>
          <w:rFonts w:hint="eastAsia" w:ascii="黑体" w:hAnsi="黑体" w:eastAsia="黑体"/>
          <w:color w:val="auto"/>
          <w:kern w:val="0"/>
          <w:sz w:val="30"/>
          <w:szCs w:val="30"/>
          <w:highlight w:val="none"/>
        </w:rPr>
        <w:t>第三部分：2020年度部门决算情况说明</w:t>
      </w:r>
    </w:p>
    <w:p>
      <w:pPr>
        <w:pStyle w:val="5"/>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 w:firstLineChars="2"/>
        <w:textAlignment w:val="auto"/>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决算收入情况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总收入为586.41万元，上年度总收入为830.27万元，增减-29.37 %。其中：一般公共预算财政拨款本年度收入为586.38万元，上年度收入为830.26万元，增减-29.37 %；政府性基金预算财政拨款本年度收入为0万元，上年度收入为0万元，增减0 %；事业收入本年度收入为0万元，上年度收入为0万元，增减0 %；其他收入本年度收入为0.02万元，上年度收入为0.01万元，增减283.7%。</w:t>
      </w:r>
    </w:p>
    <w:p>
      <w:pPr>
        <w:pStyle w:val="5"/>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 w:firstLineChars="2"/>
        <w:textAlignment w:val="auto"/>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决算支出情况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总支出为586.39万元，上年度总支出为845.29万元，增减-30.63 %。其中：基本支出本年度支出为117.1万元，上年度支出为117.61万元，增减-0.44 %；项目支出本年度支出为469.3万元，上年度支出为727.68万元，增减-35.51 %。</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三、“三公”经费情况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四、机关运行经费情况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本单位本年度机关运行经费总支出为12.71万元，上年度支出为14.25万元，增减-10.82 %；主要为日常办公费、水电、差旅、印刷、委托业务费等费用。</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五、政府决算采购情况说明</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本单位本年度政府采购总价为124.09万元，其中：货物采购0万元，工程采购0万元，服务采购124.09万元。</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六、国有资产占有使用情况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（1）房屋情况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截止2020年12月31日， 我单位产权房屋面积为0平方米，价值0万元。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（2）车辆情况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xml:space="preserve"> 单位账面车辆为0辆，价值0万元。</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七、绩效情况说明</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2020年度，本单位实行绩效目标管理的项目</w:t>
      </w:r>
      <w:r>
        <w:rPr>
          <w:rFonts w:hint="eastAsia" w:ascii="仿宋" w:hAnsi="仿宋" w:eastAsia="仿宋" w:cs="仿宋"/>
          <w:color w:val="auto"/>
          <w:kern w:val="0"/>
          <w:sz w:val="32"/>
          <w:szCs w:val="32"/>
          <w:highlight w:val="none"/>
          <w:lang w:val="en-US" w:eastAsia="zh-CN"/>
        </w:rPr>
        <w:t>0</w:t>
      </w:r>
      <w:r>
        <w:rPr>
          <w:rFonts w:hint="eastAsia" w:ascii="仿宋" w:hAnsi="仿宋" w:eastAsia="仿宋" w:cs="仿宋"/>
          <w:color w:val="auto"/>
          <w:kern w:val="0"/>
          <w:sz w:val="32"/>
          <w:szCs w:val="32"/>
          <w:highlight w:val="none"/>
        </w:rPr>
        <w:t>个。</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黑体" w:hAnsi="黑体" w:eastAsia="黑体"/>
          <w:color w:val="auto"/>
          <w:kern w:val="0"/>
          <w:sz w:val="30"/>
          <w:szCs w:val="30"/>
          <w:highlight w:val="none"/>
        </w:rPr>
      </w:pPr>
      <w:r>
        <w:rPr>
          <w:rFonts w:hint="eastAsia" w:ascii="黑体" w:hAnsi="黑体" w:eastAsia="黑体"/>
          <w:color w:val="auto"/>
          <w:kern w:val="0"/>
          <w:sz w:val="30"/>
          <w:szCs w:val="30"/>
          <w:highlight w:val="none"/>
        </w:rPr>
        <w:t>第四部分 部门名词解释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一、财政拨款：财政拨款包括一般公共预算财政拨款、政府性基金预算财政拨款和国有资本经营预算财政拨款。</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二、收入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1、财政拨款收入：单位本年度从本级财政部门取得的财政拨款，包括一般公共预算财政拨款、政府性基金预算财政拨款和国有资本经营预算财政拨款。</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一级预算单位收到的应拨给下级单位使用的款项，年终决算时尚未拨出的，在编报时列为本单位财政拨款。</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2、上级补助收入：填列事业单位从主管部门和上级单位取得的非财政补助收入。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3、事业收入：填列事业单位开展专业业务活动及其辅助活动取得的收入；事业单位收到的财政专户实际核拨的教育收费等资金在此反映。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4、经营收入：填列事业单位在专业业务活动及其辅助活动之外开展非独立核算经营活动取得的收入。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5、附属单位上缴收入：填列事业单位附独立核算单位按照有关规定上缴的收入。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事业单位开展专业业务活动及辅助活动并以合同形式从本级财政部门以外的同级单位取得的经费，不在本项反映，应填列在“事业收入”栏。</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三、支出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1、基本支出：填列单位为保障机构正常运转、完成日常工作任务而发生的各项支出。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2、项目支出：填列单位为完成特定的行政工作任务或事业发展目标，在基本支出之外发生的各项支出。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3、上缴上级支出：填列事业单位按照财政部门和主管部门的规定上缴上级单位的支出。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4、经营支出：填列事业单位在专业活动及辅助活动之外开展非独立核算经营活动发生的支出。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5、附属单位补助支出：填列事业单位用财政补助收入之外的收入对附属单位补助发生的支出。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6、主管部门在汇总决算时，应使用调整表对“上缴上级支出”“对附属单位补助支出”与收入表中“附属单位上缴收入”“上级补助收入”进行冲抵。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四、“三公”经费：一般公共预算安排的因公出国（境）费、公务用车购置及运行费和公务接待费。</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5120" w:firstLineChars="16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2021年8月9日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4C1033"/>
    <w:rsid w:val="764C1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jc w:val="left"/>
    </w:pPr>
    <w:rPr>
      <w:rFonts w:cs="Times New Roman"/>
      <w:kern w:val="0"/>
      <w:sz w:val="24"/>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2021-08-24T09:58:00Z</dcterms:created>
  <dc:creator>一春一夏</dc:creator>
  <cp:lastModifiedBy>一春一夏</cp:lastModifiedBy>
  <dcterms:modified xsi:type="dcterms:W3CDTF">2021-08-24T10:22:36Z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81F2F49DC2364D8B992B7C4CB895FC3A</vt:lpwstr>
  </property>
</Properties>
</file>