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6"/>
          <w:szCs w:val="36"/>
          <w:lang w:eastAsia="zh-CN"/>
        </w:rPr>
      </w:pPr>
      <w:r>
        <w:rPr>
          <w:rFonts w:hint="eastAsia" w:ascii="黑体" w:hAnsi="黑体" w:eastAsia="黑体"/>
          <w:sz w:val="36"/>
          <w:szCs w:val="36"/>
          <w:lang w:eastAsia="zh-CN"/>
        </w:rPr>
        <w:t>大同市浑源县农业综合开发中心</w:t>
      </w:r>
    </w:p>
    <w:p>
      <w:pPr>
        <w:jc w:val="center"/>
        <w:rPr>
          <w:rFonts w:ascii="黑体" w:hAnsi="黑体" w:eastAsia="黑体"/>
          <w:sz w:val="36"/>
          <w:szCs w:val="36"/>
        </w:rPr>
      </w:pPr>
      <w:r>
        <w:rPr>
          <w:rFonts w:hint="eastAsia" w:ascii="黑体" w:hAnsi="黑体" w:eastAsia="黑体"/>
          <w:sz w:val="36"/>
          <w:szCs w:val="36"/>
        </w:rPr>
        <w:t>2020年度部门决算公开说明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目录</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第一部分 部门及单位概况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第二部分 2020年度部门决算</w:t>
      </w:r>
      <w:r>
        <w:rPr>
          <w:rFonts w:hint="eastAsia" w:ascii="仿宋" w:hAnsi="仿宋" w:eastAsia="仿宋" w:cs="仿宋"/>
          <w:b/>
          <w:color w:val="333333"/>
          <w:kern w:val="0"/>
          <w:sz w:val="32"/>
          <w:szCs w:val="32"/>
          <w:lang w:eastAsia="zh-CN"/>
        </w:rPr>
        <w:t>公开</w:t>
      </w:r>
      <w:r>
        <w:rPr>
          <w:rFonts w:hint="eastAsia" w:ascii="仿宋" w:hAnsi="仿宋" w:eastAsia="仿宋" w:cs="仿宋"/>
          <w:b/>
          <w:color w:val="333333"/>
          <w:kern w:val="0"/>
          <w:sz w:val="32"/>
          <w:szCs w:val="32"/>
        </w:rPr>
        <w:t>报表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表十：GK10 部门决算公开相关信息统计表(公开10表)</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第三部分 2020年度部门决算情况说明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pPr>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第四部分 部门名词解释</w:t>
      </w:r>
    </w:p>
    <w:p>
      <w:pPr>
        <w:rPr>
          <w:rFonts w:hint="eastAsia" w:ascii="仿宋" w:hAnsi="仿宋" w:eastAsia="仿宋" w:cs="仿宋"/>
          <w:b/>
          <w:color w:val="333333"/>
          <w:kern w:val="0"/>
          <w:sz w:val="32"/>
          <w:szCs w:val="32"/>
        </w:rPr>
      </w:pPr>
    </w:p>
    <w:p>
      <w:pPr>
        <w:rPr>
          <w:rFonts w:hint="eastAsia" w:ascii="仿宋" w:hAnsi="仿宋" w:eastAsia="仿宋" w:cs="仿宋"/>
          <w:b/>
          <w:color w:val="333333"/>
          <w:kern w:val="0"/>
          <w:sz w:val="32"/>
          <w:szCs w:val="32"/>
        </w:rPr>
      </w:pPr>
      <w:r>
        <w:rPr>
          <w:rFonts w:hint="eastAsia" w:ascii="仿宋" w:hAnsi="仿宋" w:eastAsia="仿宋" w:cs="仿宋"/>
          <w:b/>
          <w:color w:val="333333"/>
          <w:kern w:val="0"/>
          <w:sz w:val="32"/>
          <w:szCs w:val="32"/>
        </w:rPr>
        <w:t>内容</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第一部分：大同市浑源县农业综合开发中心概况</w:t>
      </w:r>
    </w:p>
    <w:p>
      <w:pPr>
        <w:numPr>
          <w:ilvl w:val="0"/>
          <w:numId w:val="1"/>
        </w:numPr>
        <w:ind w:firstLine="630"/>
        <w:jc w:val="left"/>
        <w:rPr>
          <w:rFonts w:hint="eastAsia" w:ascii="仿宋" w:hAnsi="仿宋" w:eastAsia="仿宋" w:cs="仿宋"/>
          <w:color w:val="333333"/>
          <w:kern w:val="0"/>
          <w:sz w:val="32"/>
          <w:szCs w:val="32"/>
          <w:highlight w:val="none"/>
          <w:lang w:val="en-US" w:eastAsia="zh-CN"/>
        </w:rPr>
      </w:pPr>
      <w:r>
        <w:rPr>
          <w:rFonts w:hint="eastAsia" w:ascii="仿宋" w:hAnsi="仿宋" w:eastAsia="仿宋" w:cs="仿宋"/>
          <w:color w:val="333333"/>
          <w:kern w:val="0"/>
          <w:sz w:val="32"/>
          <w:szCs w:val="32"/>
          <w:highlight w:val="none"/>
        </w:rPr>
        <w:t>部门职责</w:t>
      </w:r>
      <w:r>
        <w:rPr>
          <w:rFonts w:hint="eastAsia" w:ascii="仿宋" w:hAnsi="仿宋" w:eastAsia="仿宋" w:cs="仿宋"/>
          <w:color w:val="333333"/>
          <w:kern w:val="0"/>
          <w:sz w:val="32"/>
          <w:szCs w:val="32"/>
          <w:highlight w:val="none"/>
          <w:lang w:val="en-US" w:eastAsia="zh-CN"/>
        </w:rPr>
        <w:t xml:space="preserve"> </w:t>
      </w:r>
    </w:p>
    <w:p>
      <w:pPr>
        <w:numPr>
          <w:numId w:val="0"/>
        </w:numPr>
        <w:jc w:val="left"/>
        <w:rPr>
          <w:rFonts w:hint="eastAsia" w:ascii="仿宋" w:hAnsi="仿宋" w:eastAsia="仿宋" w:cs="仿宋"/>
          <w:sz w:val="32"/>
          <w:szCs w:val="32"/>
          <w:highlight w:val="none"/>
        </w:rPr>
      </w:pPr>
      <w:r>
        <w:rPr>
          <w:rFonts w:hint="eastAsia" w:ascii="仿宋" w:hAnsi="仿宋" w:eastAsia="仿宋" w:cs="仿宋"/>
          <w:sz w:val="32"/>
          <w:szCs w:val="32"/>
          <w:highlight w:val="none"/>
        </w:rPr>
        <w:t>1.在农业资源调查与区划规划的基础上，搞好农业综合开发工作，承担全县农业综合开发的组织，实施和管理。</w:t>
      </w:r>
    </w:p>
    <w:p>
      <w:pPr>
        <w:jc w:val="left"/>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 xml:space="preserve">在全县农业资源调查与农业区划的基础上，应用农业遥感和农业地面动态监测网络，定期监测全县农业资源动态变化和农业经济信息；                                                   </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.围绕发展名特优和农副产品，抓好商品生产基地的建设。</w:t>
      </w:r>
    </w:p>
    <w:p>
      <w:pPr>
        <w:numPr>
          <w:numId w:val="0"/>
        </w:num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lang w:val="en-US" w:eastAsia="zh-CN"/>
        </w:rPr>
        <w:t xml:space="preserve">   </w:t>
      </w:r>
      <w:r>
        <w:rPr>
          <w:rFonts w:hint="eastAsia" w:ascii="仿宋" w:hAnsi="仿宋" w:eastAsia="仿宋" w:cs="仿宋"/>
          <w:color w:val="333333"/>
          <w:kern w:val="0"/>
          <w:sz w:val="32"/>
          <w:szCs w:val="32"/>
          <w:highlight w:val="none"/>
          <w:lang w:eastAsia="zh-CN"/>
        </w:rPr>
        <w:t>二、</w:t>
      </w:r>
      <w:r>
        <w:rPr>
          <w:rFonts w:hint="eastAsia" w:ascii="仿宋" w:hAnsi="仿宋" w:eastAsia="仿宋" w:cs="仿宋"/>
          <w:color w:val="333333"/>
          <w:kern w:val="0"/>
          <w:sz w:val="32"/>
          <w:szCs w:val="32"/>
          <w:highlight w:val="none"/>
        </w:rPr>
        <w:t>机构设置</w:t>
      </w:r>
    </w:p>
    <w:p>
      <w:pPr>
        <w:numPr>
          <w:numId w:val="0"/>
        </w:numPr>
        <w:rPr>
          <w:rFonts w:ascii="宋体" w:hAnsi="宋体" w:eastAsia="宋体"/>
          <w:color w:val="333333"/>
          <w:kern w:val="0"/>
          <w:szCs w:val="21"/>
          <w:highlight w:val="none"/>
        </w:rPr>
      </w:pPr>
      <w:r>
        <w:rPr>
          <w:rFonts w:hint="eastAsia" w:ascii="仿宋" w:hAnsi="仿宋" w:eastAsia="仿宋" w:cs="仿宋"/>
          <w:sz w:val="32"/>
          <w:szCs w:val="32"/>
          <w:highlight w:val="none"/>
        </w:rPr>
        <w:t>农业综合开发</w:t>
      </w:r>
      <w:r>
        <w:rPr>
          <w:rFonts w:hint="eastAsia" w:ascii="仿宋" w:hAnsi="仿宋" w:eastAsia="仿宋" w:cs="仿宋"/>
          <w:sz w:val="32"/>
          <w:szCs w:val="32"/>
          <w:highlight w:val="none"/>
          <w:lang w:eastAsia="zh-CN"/>
        </w:rPr>
        <w:t>中心</w:t>
      </w:r>
      <w:r>
        <w:rPr>
          <w:rFonts w:hint="eastAsia" w:ascii="仿宋" w:hAnsi="仿宋" w:eastAsia="仿宋" w:cs="仿宋"/>
          <w:sz w:val="32"/>
          <w:szCs w:val="32"/>
          <w:highlight w:val="none"/>
        </w:rPr>
        <w:t>编制8人，现有在职人员</w:t>
      </w: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rPr>
        <w:t>人，</w:t>
      </w:r>
      <w:r>
        <w:rPr>
          <w:rFonts w:hint="eastAsia" w:ascii="仿宋" w:hAnsi="仿宋" w:eastAsia="仿宋" w:cs="仿宋"/>
          <w:sz w:val="32"/>
          <w:szCs w:val="32"/>
          <w:highlight w:val="none"/>
          <w:lang w:eastAsia="zh-CN"/>
        </w:rPr>
        <w:t>中心</w:t>
      </w:r>
      <w:r>
        <w:rPr>
          <w:rFonts w:hint="eastAsia" w:ascii="仿宋" w:hAnsi="仿宋" w:eastAsia="仿宋" w:cs="仿宋"/>
          <w:sz w:val="32"/>
          <w:szCs w:val="32"/>
          <w:highlight w:val="none"/>
        </w:rPr>
        <w:t xml:space="preserve">内设三个股室：开发股，资源区划股，农业外经股。 </w:t>
      </w:r>
      <w:r>
        <w:rPr>
          <w:rFonts w:hint="eastAsia"/>
          <w:sz w:val="32"/>
          <w:szCs w:val="32"/>
          <w:highlight w:val="none"/>
        </w:rPr>
        <w:t xml:space="preserve">          </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第二部分：2020年度部门决算公开报表</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附件：大同市浑源县农业综合开发中心2020年度收入支出决算</w:t>
      </w:r>
      <w:r>
        <w:rPr>
          <w:rFonts w:hint="eastAsia" w:ascii="仿宋" w:hAnsi="仿宋" w:eastAsia="仿宋" w:cs="仿宋"/>
          <w:color w:val="333333"/>
          <w:kern w:val="0"/>
          <w:sz w:val="32"/>
          <w:szCs w:val="32"/>
          <w:highlight w:val="none"/>
          <w:lang w:eastAsia="zh-CN"/>
        </w:rPr>
        <w:t>公开报</w:t>
      </w:r>
      <w:bookmarkStart w:id="0" w:name="_GoBack"/>
      <w:bookmarkEnd w:id="0"/>
      <w:r>
        <w:rPr>
          <w:rFonts w:hint="eastAsia" w:ascii="仿宋" w:hAnsi="仿宋" w:eastAsia="仿宋" w:cs="仿宋"/>
          <w:color w:val="333333"/>
          <w:kern w:val="0"/>
          <w:sz w:val="32"/>
          <w:szCs w:val="32"/>
          <w:highlight w:val="none"/>
        </w:rPr>
        <w:t>表.xls</w:t>
      </w:r>
    </w:p>
    <w:p>
      <w:pPr>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第三部分：2020年度部门决算情况说明</w:t>
      </w:r>
    </w:p>
    <w:p>
      <w:pPr>
        <w:pStyle w:val="4"/>
        <w:numPr>
          <w:ilvl w:val="0"/>
          <w:numId w:val="2"/>
        </w:numPr>
        <w:ind w:firstLine="4" w:firstLineChars="2"/>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决算收入情况</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总收入为90.1万元，上年度总收入为96.76万元，增减-6.89 %。其中：一般公共预算财政拨款本年度收入为90.1万元，上年度收入为96.76万元，增减-6.89 %；政府性基金预算财政拨款本年度收入为0万元，上年度收入为0万元，增减0 %；事业收入本年度收入为0万元，上年度收入为0万元，增减0 %；其他收入本年度收入为0万元，上年度收入为0万元，增减-5.79%。</w:t>
      </w:r>
    </w:p>
    <w:p>
      <w:pPr>
        <w:pStyle w:val="4"/>
        <w:numPr>
          <w:ilvl w:val="0"/>
          <w:numId w:val="2"/>
        </w:numPr>
        <w:ind w:firstLine="4" w:firstLineChars="2"/>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决算支出情况</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本单位本年度总支出为90.1万元，上年度总支出为96.76万元，增减-6.89 %。其中：基本支出本年度支出为90.1万元，上年度支出为96.76万元，增减-6.89 %；项目支出本年度支出为0万元，上年度支出为0万元，增减0 %。</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三、“三公”经费情况</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三公”经费总支出为1.28万元，上年度支出为0.32万元，增减298.78 %；其中：因公出国（境）费本年度支出0万元，上年度支出为0万元，增减0 %；公务用车购置及运行维护费支出为1.28万元，上年度支出为0.32万元，增减298.78 %；公务接待费支出为0万元，上年度支出为0万元，增减0 %。</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四、机关运行经费情况</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本单位本年度机关运行经费总支出为0万元，上年度支出为0万元，增减0 %；主要为日常办公费、水电、差旅、印刷、委托业务费等费用。</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五、政府决算采购情况说明</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本单位本年度政府采购总价为0万元，其中：货物采购0万元，工程采购0万元，服务采购0万元。</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六、国有资产占有使用情况</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（1）房屋情况</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截止2020年12月31日， 我单位产权房屋面积为0平方米，价值0万元。</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（2）车辆情况</w:t>
      </w:r>
    </w:p>
    <w:p>
      <w:pPr>
        <w:ind w:firstLine="420" w:firstLineChars="200"/>
        <w:rPr>
          <w:rFonts w:hint="eastAsia" w:ascii="仿宋" w:hAnsi="仿宋" w:eastAsia="仿宋" w:cs="仿宋"/>
          <w:color w:val="333333"/>
          <w:kern w:val="0"/>
          <w:sz w:val="32"/>
          <w:szCs w:val="32"/>
          <w:highlight w:val="none"/>
        </w:rPr>
      </w:pPr>
      <w:r>
        <w:rPr>
          <w:rFonts w:hint="eastAsia" w:ascii="仿宋" w:hAnsi="仿宋" w:eastAsia="仿宋" w:cs="仿宋"/>
          <w:color w:val="333333"/>
          <w:kern w:val="0"/>
          <w:sz w:val="32"/>
          <w:szCs w:val="32"/>
          <w:highlight w:val="none"/>
        </w:rPr>
        <w:t xml:space="preserve"> 单位账面车辆为0辆，价值0万元。</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2020年度，本单位实行绩效目标管理的项目</w:t>
      </w:r>
      <w:r>
        <w:rPr>
          <w:rFonts w:hint="eastAsia" w:ascii="仿宋" w:hAnsi="仿宋" w:eastAsia="仿宋" w:cs="仿宋"/>
          <w:color w:val="333333"/>
          <w:kern w:val="0"/>
          <w:sz w:val="32"/>
          <w:szCs w:val="32"/>
          <w:lang w:val="en-US" w:eastAsia="zh-CN"/>
        </w:rPr>
        <w:t>0</w:t>
      </w:r>
      <w:r>
        <w:rPr>
          <w:rFonts w:hint="eastAsia" w:ascii="仿宋" w:hAnsi="仿宋" w:eastAsia="仿宋" w:cs="仿宋"/>
          <w:color w:val="333333"/>
          <w:kern w:val="0"/>
          <w:sz w:val="32"/>
          <w:szCs w:val="32"/>
        </w:rPr>
        <w:t>个。</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第四部分 部门名词解释</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一、财政拨款：财政拨款包括一般公共预算财政拨款、政府性基金预算财政拨款和国有资本经营预算财政拨款。</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二、收入</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1、财政拨款收入：单位本年度从本级财政部门取得的财政拨款，包括一般公共预算财政拨款、政府性基金预算财政拨款和国有资本经营预算财政拨款。</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一级预算单位收到的应拨给下级单位使用的款项，年终决算时尚未拨出的，在编报时列为本单位财政拨款。</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2、上级补助收入：填列事业单位从主管部门和上级单位取得的非财政补助收入。</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3、事业收入：填列事业单位开展专业业务活动及其辅助活动取得的收入；事业单位收到的财政专户实际核拨的教育收费等资金在此反映。</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4、经营收入：填列事业单位在专业业务活动及其辅助活动之外开展非独立核算经营活动取得的收入。</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5、附属单位上缴收入：填列事业单位附独立核算单位按照有关规定上缴的收入。</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事业单位开展专业业务活动及辅助活动并以合同形式从本级财政部门以外的同级单位取得的经费，不在本项反映，应填列在“事业收入”栏。</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三、支出</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1、基本支出：填列单位为保障机构正常运转、完成日常工作任务而发生的各项支出。</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2、项目支出：填列单位为完成特定的行政工作任务或事业发展目标，在基本支出之外发生的各项支出。</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3、上缴上级支出：填列事业单位按照财政部门和主管部门的规定上缴上级单位的支出。</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4、经营支出：填列事业单位在专业活动及辅助活动之外开展非独立核算经营活动发生的支出。</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5、附属单位补助支出：填列事业单位用财政补助收入之外的收入对附属单位补助发生的支出。</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6、主管部门在汇总决算时，应使用调整表对“上缴上级支出”“对附属单位补助支出”与收入表中“附属单位上缴收入”“上级补助收入”进行冲抵。</w:t>
      </w:r>
    </w:p>
    <w:p>
      <w:pPr>
        <w:ind w:firstLine="420" w:firstLineChars="200"/>
        <w:rPr>
          <w:rFonts w:hint="eastAsia" w:ascii="仿宋" w:hAnsi="仿宋" w:eastAsia="仿宋" w:cs="仿宋"/>
          <w:color w:val="333333"/>
          <w:kern w:val="0"/>
          <w:sz w:val="32"/>
          <w:szCs w:val="32"/>
        </w:rPr>
      </w:pPr>
      <w:r>
        <w:rPr>
          <w:rFonts w:hint="eastAsia" w:ascii="仿宋" w:hAnsi="仿宋" w:eastAsia="仿宋" w:cs="仿宋"/>
          <w:color w:val="333333"/>
          <w:kern w:val="0"/>
          <w:sz w:val="32"/>
          <w:szCs w:val="32"/>
        </w:rPr>
        <w:t>四、“三公”经费：一般公共预算安排的因公出国（境）费、公务用车购置及运行费和公务接待费。</w:t>
      </w:r>
    </w:p>
    <w:p>
      <w:pPr>
        <w:rPr>
          <w:rFonts w:hint="eastAsia" w:ascii="仿宋" w:hAnsi="仿宋" w:eastAsia="仿宋" w:cs="仿宋"/>
          <w:sz w:val="32"/>
          <w:szCs w:val="32"/>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2021年8月9日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125AF73"/>
    <w:multiLevelType w:val="singleLevel"/>
    <w:tmpl w:val="6125AF73"/>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6852CF"/>
    <w:rsid w:val="216852C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2021-08-25T02:32:00Z</dcterms:created>
  <dc:creator>Administrator</dc:creator>
  <cp:lastModifiedBy>Administrator</cp:lastModifiedBy>
  <dcterms:modified xsi:type="dcterms:W3CDTF">2021-08-25T02:58:04Z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