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4691A3">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大同市浑源县医疗保障局</w:t>
      </w:r>
    </w:p>
    <w:p w14:paraId="1B87E914">
      <w:pPr>
        <w:jc w:val="center"/>
        <w:rPr>
          <w:rFonts w:ascii="黑体" w:hAnsi="黑体" w:eastAsia="黑体"/>
          <w:sz w:val="36"/>
          <w:szCs w:val="36"/>
        </w:rPr>
      </w:pPr>
      <w:r>
        <w:rPr>
          <w:rFonts w:hint="eastAsia" w:ascii="黑体" w:hAnsi="黑体" w:eastAsia="黑体"/>
          <w:sz w:val="36"/>
          <w:szCs w:val="36"/>
        </w:rPr>
        <w:t>2020年度部门决算公开说明</w:t>
      </w:r>
    </w:p>
    <w:p w14:paraId="2BCA1B3A">
      <w:pPr>
        <w:rPr>
          <w:rFonts w:ascii="黑体" w:hAnsi="黑体" w:eastAsia="黑体"/>
          <w:b/>
          <w:color w:val="333333"/>
          <w:kern w:val="0"/>
          <w:sz w:val="36"/>
          <w:szCs w:val="36"/>
        </w:rPr>
      </w:pPr>
      <w:r>
        <w:rPr>
          <w:rFonts w:hint="eastAsia" w:ascii="黑体" w:hAnsi="黑体" w:eastAsia="黑体"/>
          <w:b/>
          <w:color w:val="333333"/>
          <w:kern w:val="0"/>
          <w:sz w:val="36"/>
          <w:szCs w:val="36"/>
        </w:rPr>
        <w:t>目录</w:t>
      </w:r>
    </w:p>
    <w:p w14:paraId="30BE81EF">
      <w:pPr>
        <w:rPr>
          <w:rFonts w:ascii="黑体" w:hAnsi="黑体" w:eastAsia="黑体"/>
          <w:b/>
          <w:color w:val="333333"/>
          <w:kern w:val="0"/>
          <w:szCs w:val="21"/>
        </w:rPr>
      </w:pPr>
      <w:r>
        <w:rPr>
          <w:rFonts w:hint="eastAsia" w:ascii="黑体" w:hAnsi="黑体" w:eastAsia="黑体"/>
          <w:b/>
          <w:color w:val="333333"/>
          <w:kern w:val="0"/>
          <w:sz w:val="36"/>
          <w:szCs w:val="36"/>
        </w:rPr>
        <w:t>第一部分 部门</w:t>
      </w:r>
      <w:r>
        <w:rPr>
          <w:rFonts w:ascii="黑体" w:hAnsi="黑体" w:eastAsia="黑体"/>
          <w:b/>
          <w:color w:val="333333"/>
          <w:kern w:val="0"/>
          <w:sz w:val="36"/>
          <w:szCs w:val="36"/>
        </w:rPr>
        <w:t>及单位</w:t>
      </w:r>
      <w:r>
        <w:rPr>
          <w:rFonts w:hint="eastAsia" w:ascii="黑体" w:hAnsi="黑体" w:eastAsia="黑体"/>
          <w:b/>
          <w:color w:val="333333"/>
          <w:kern w:val="0"/>
          <w:sz w:val="36"/>
          <w:szCs w:val="36"/>
        </w:rPr>
        <w:t>概况</w:t>
      </w:r>
    </w:p>
    <w:p w14:paraId="78B2588F">
      <w:pPr>
        <w:rPr>
          <w:rFonts w:ascii="仿宋" w:hAnsi="仿宋" w:eastAsia="仿宋" w:cs="仿宋"/>
          <w:color w:val="333333"/>
          <w:kern w:val="0"/>
          <w:sz w:val="32"/>
          <w:szCs w:val="32"/>
        </w:rPr>
      </w:pPr>
      <w:r>
        <w:rPr>
          <w:rFonts w:hint="eastAsia" w:ascii="仿宋" w:hAnsi="仿宋" w:eastAsia="仿宋" w:cs="仿宋"/>
          <w:color w:val="333333"/>
          <w:kern w:val="0"/>
          <w:sz w:val="32"/>
          <w:szCs w:val="32"/>
        </w:rPr>
        <w:t>一、部门职责</w:t>
      </w:r>
    </w:p>
    <w:p w14:paraId="1F48627F">
      <w:pPr>
        <w:rPr>
          <w:rFonts w:ascii="仿宋" w:hAnsi="仿宋" w:eastAsia="仿宋" w:cs="仿宋"/>
          <w:color w:val="333333"/>
          <w:kern w:val="0"/>
          <w:sz w:val="32"/>
          <w:szCs w:val="32"/>
        </w:rPr>
      </w:pPr>
      <w:r>
        <w:rPr>
          <w:rFonts w:hint="eastAsia" w:ascii="仿宋" w:hAnsi="仿宋" w:eastAsia="仿宋" w:cs="仿宋"/>
          <w:color w:val="333333"/>
          <w:kern w:val="0"/>
          <w:sz w:val="32"/>
          <w:szCs w:val="32"/>
        </w:rPr>
        <w:t>二、机构设置</w:t>
      </w:r>
    </w:p>
    <w:p w14:paraId="35265342">
      <w:pPr>
        <w:rPr>
          <w:rFonts w:ascii="黑体" w:hAnsi="黑体" w:eastAsia="黑体"/>
          <w:b/>
          <w:color w:val="333333"/>
          <w:kern w:val="0"/>
          <w:sz w:val="36"/>
          <w:szCs w:val="36"/>
        </w:rPr>
      </w:pPr>
      <w:r>
        <w:rPr>
          <w:rFonts w:hint="eastAsia" w:ascii="黑体" w:hAnsi="黑体" w:eastAsia="黑体"/>
          <w:b/>
          <w:color w:val="333333"/>
          <w:kern w:val="0"/>
          <w:sz w:val="36"/>
          <w:szCs w:val="36"/>
        </w:rPr>
        <w:t>第二部分 2020年度部门决算公</w:t>
      </w:r>
      <w:r>
        <w:rPr>
          <w:rFonts w:ascii="黑体" w:hAnsi="黑体" w:eastAsia="黑体"/>
          <w:b/>
          <w:color w:val="333333"/>
          <w:kern w:val="0"/>
          <w:sz w:val="36"/>
          <w:szCs w:val="36"/>
        </w:rPr>
        <w:t>开</w:t>
      </w:r>
      <w:r>
        <w:rPr>
          <w:rFonts w:hint="eastAsia" w:ascii="黑体" w:hAnsi="黑体" w:eastAsia="黑体"/>
          <w:b/>
          <w:color w:val="333333"/>
          <w:kern w:val="0"/>
          <w:sz w:val="36"/>
          <w:szCs w:val="36"/>
        </w:rPr>
        <w:t>报表</w:t>
      </w:r>
    </w:p>
    <w:p w14:paraId="5152AA21">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表一：GK01 收入支出决算总表(公开01表)</w:t>
      </w:r>
    </w:p>
    <w:p w14:paraId="331965B4">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表二：GK02 收入决算表(公开02表)</w:t>
      </w:r>
    </w:p>
    <w:p w14:paraId="08A4225B">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表三：GK03 支出决算表(公开03表)</w:t>
      </w:r>
    </w:p>
    <w:p w14:paraId="58C98B67">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表四：GK04 财政拨款收入支出决算总表(公开04表)</w:t>
      </w:r>
    </w:p>
    <w:p w14:paraId="1881E717">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表五：GK05 一般公共预算财政拨款支出决算表（一）(公开05表)</w:t>
      </w:r>
    </w:p>
    <w:p w14:paraId="5914685F">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表六：GK06 一般公共预算财政拨款支出决算表（二）(公开06表)</w:t>
      </w:r>
    </w:p>
    <w:p w14:paraId="4069C8F7">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表七：GK07 一般公共预算财政拨款“三公”经费支出决算表(公开07)</w:t>
      </w:r>
    </w:p>
    <w:p w14:paraId="5ECC3DCF">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表八：GK08 政府性基金预算财政拨款收入支出决算表(公开08表)</w:t>
      </w:r>
    </w:p>
    <w:p w14:paraId="629567CE">
      <w:pPr>
        <w:rPr>
          <w:rFonts w:ascii="仿宋" w:hAnsi="仿宋" w:eastAsia="仿宋" w:cs="仿宋"/>
          <w:color w:val="333333"/>
          <w:kern w:val="0"/>
          <w:sz w:val="32"/>
          <w:szCs w:val="32"/>
        </w:rPr>
      </w:pPr>
      <w:r>
        <w:rPr>
          <w:rFonts w:hint="eastAsia" w:ascii="仿宋" w:hAnsi="仿宋" w:eastAsia="仿宋" w:cs="仿宋"/>
          <w:color w:val="333333"/>
          <w:kern w:val="0"/>
          <w:sz w:val="32"/>
          <w:szCs w:val="32"/>
        </w:rPr>
        <w:t>表九：GK09 国有资本经营预算财政拨款支出决算表(公开09表)</w:t>
      </w:r>
    </w:p>
    <w:p w14:paraId="613EFEB5">
      <w:pPr>
        <w:rPr>
          <w:rFonts w:ascii="宋体" w:hAnsi="宋体"/>
          <w:color w:val="333333"/>
          <w:kern w:val="0"/>
          <w:szCs w:val="21"/>
        </w:rPr>
      </w:pPr>
      <w:r>
        <w:rPr>
          <w:rFonts w:hint="eastAsia" w:ascii="仿宋" w:hAnsi="仿宋" w:eastAsia="仿宋" w:cs="仿宋"/>
          <w:color w:val="333333"/>
          <w:kern w:val="0"/>
          <w:sz w:val="32"/>
          <w:szCs w:val="32"/>
        </w:rPr>
        <w:t>表十：GK10 部门决算公开相关信息统计表(公开10表)</w:t>
      </w:r>
    </w:p>
    <w:p w14:paraId="242B1A9C">
      <w:pPr>
        <w:rPr>
          <w:rFonts w:ascii="黑体" w:hAnsi="黑体" w:eastAsia="黑体"/>
          <w:b/>
          <w:color w:val="333333"/>
          <w:kern w:val="0"/>
          <w:sz w:val="36"/>
          <w:szCs w:val="36"/>
        </w:rPr>
      </w:pPr>
      <w:r>
        <w:rPr>
          <w:rFonts w:hint="eastAsia" w:ascii="黑体" w:hAnsi="黑体" w:eastAsia="黑体"/>
          <w:b/>
          <w:color w:val="333333"/>
          <w:kern w:val="0"/>
          <w:sz w:val="36"/>
          <w:szCs w:val="36"/>
        </w:rPr>
        <w:t>第三部分 2020年度部门决算情况说明</w:t>
      </w:r>
    </w:p>
    <w:p w14:paraId="02464000">
      <w:pPr>
        <w:rPr>
          <w:rFonts w:ascii="仿宋" w:hAnsi="仿宋" w:eastAsia="仿宋" w:cs="仿宋"/>
          <w:color w:val="333333"/>
          <w:kern w:val="0"/>
          <w:sz w:val="32"/>
          <w:szCs w:val="32"/>
        </w:rPr>
      </w:pPr>
      <w:r>
        <w:rPr>
          <w:rFonts w:hint="eastAsia" w:ascii="仿宋" w:hAnsi="仿宋" w:eastAsia="仿宋" w:cs="仿宋"/>
          <w:color w:val="333333"/>
          <w:kern w:val="0"/>
          <w:sz w:val="32"/>
          <w:szCs w:val="32"/>
        </w:rPr>
        <w:t>一、决算收入情况</w:t>
      </w:r>
    </w:p>
    <w:p w14:paraId="6F389EC5">
      <w:pPr>
        <w:rPr>
          <w:rFonts w:ascii="仿宋" w:hAnsi="仿宋" w:eastAsia="仿宋" w:cs="仿宋"/>
          <w:color w:val="333333"/>
          <w:kern w:val="0"/>
          <w:sz w:val="32"/>
          <w:szCs w:val="32"/>
        </w:rPr>
      </w:pPr>
      <w:r>
        <w:rPr>
          <w:rFonts w:hint="eastAsia" w:ascii="仿宋" w:hAnsi="仿宋" w:eastAsia="仿宋" w:cs="仿宋"/>
          <w:color w:val="333333"/>
          <w:kern w:val="0"/>
          <w:sz w:val="32"/>
          <w:szCs w:val="32"/>
        </w:rPr>
        <w:t>二、决算支出情况</w:t>
      </w:r>
    </w:p>
    <w:p w14:paraId="4B84BB87">
      <w:pPr>
        <w:rPr>
          <w:rFonts w:ascii="仿宋" w:hAnsi="仿宋" w:eastAsia="仿宋" w:cs="仿宋"/>
          <w:color w:val="333333"/>
          <w:kern w:val="0"/>
          <w:sz w:val="32"/>
          <w:szCs w:val="32"/>
        </w:rPr>
      </w:pPr>
      <w:r>
        <w:rPr>
          <w:rFonts w:hint="eastAsia" w:ascii="仿宋" w:hAnsi="仿宋" w:eastAsia="仿宋" w:cs="仿宋"/>
          <w:color w:val="333333"/>
          <w:kern w:val="0"/>
          <w:sz w:val="32"/>
          <w:szCs w:val="32"/>
        </w:rPr>
        <w:t>三、“三公”经费情况</w:t>
      </w:r>
    </w:p>
    <w:p w14:paraId="1588902A">
      <w:pPr>
        <w:rPr>
          <w:rFonts w:ascii="仿宋" w:hAnsi="仿宋" w:eastAsia="仿宋" w:cs="仿宋"/>
          <w:color w:val="333333"/>
          <w:kern w:val="0"/>
          <w:sz w:val="32"/>
          <w:szCs w:val="32"/>
        </w:rPr>
      </w:pPr>
      <w:r>
        <w:rPr>
          <w:rFonts w:hint="eastAsia" w:ascii="仿宋" w:hAnsi="仿宋" w:eastAsia="仿宋" w:cs="仿宋"/>
          <w:color w:val="333333"/>
          <w:kern w:val="0"/>
          <w:sz w:val="32"/>
          <w:szCs w:val="32"/>
        </w:rPr>
        <w:t>四、机关运行经费情况</w:t>
      </w:r>
    </w:p>
    <w:p w14:paraId="7CDBADDE">
      <w:pPr>
        <w:rPr>
          <w:rFonts w:ascii="仿宋" w:hAnsi="仿宋" w:eastAsia="仿宋" w:cs="仿宋"/>
          <w:color w:val="333333"/>
          <w:kern w:val="0"/>
          <w:sz w:val="32"/>
          <w:szCs w:val="32"/>
        </w:rPr>
      </w:pPr>
      <w:r>
        <w:rPr>
          <w:rFonts w:hint="eastAsia" w:ascii="仿宋" w:hAnsi="仿宋" w:eastAsia="仿宋" w:cs="仿宋"/>
          <w:color w:val="333333"/>
          <w:kern w:val="0"/>
          <w:sz w:val="32"/>
          <w:szCs w:val="32"/>
        </w:rPr>
        <w:t>五、政府决算采购情况说明</w:t>
      </w:r>
    </w:p>
    <w:p w14:paraId="4BD63582">
      <w:pPr>
        <w:rPr>
          <w:rFonts w:ascii="仿宋" w:hAnsi="仿宋" w:eastAsia="仿宋" w:cs="仿宋"/>
          <w:color w:val="333333"/>
          <w:kern w:val="0"/>
          <w:sz w:val="32"/>
          <w:szCs w:val="32"/>
        </w:rPr>
      </w:pPr>
      <w:r>
        <w:rPr>
          <w:rFonts w:hint="eastAsia" w:ascii="仿宋" w:hAnsi="仿宋" w:eastAsia="仿宋" w:cs="仿宋"/>
          <w:color w:val="333333"/>
          <w:kern w:val="0"/>
          <w:sz w:val="32"/>
          <w:szCs w:val="32"/>
        </w:rPr>
        <w:t>六、国有资产占有使用情况</w:t>
      </w:r>
    </w:p>
    <w:p w14:paraId="4B57721C">
      <w:pPr>
        <w:rPr>
          <w:rFonts w:ascii="仿宋" w:hAnsi="仿宋" w:eastAsia="仿宋" w:cs="仿宋"/>
          <w:color w:val="333333"/>
          <w:kern w:val="0"/>
          <w:sz w:val="32"/>
          <w:szCs w:val="32"/>
        </w:rPr>
      </w:pPr>
      <w:r>
        <w:rPr>
          <w:rFonts w:hint="eastAsia" w:ascii="仿宋" w:hAnsi="仿宋" w:eastAsia="仿宋" w:cs="仿宋"/>
          <w:color w:val="333333"/>
          <w:kern w:val="0"/>
          <w:sz w:val="32"/>
          <w:szCs w:val="32"/>
        </w:rPr>
        <w:t>七、绩效情况说明</w:t>
      </w:r>
    </w:p>
    <w:p w14:paraId="4F02A72D">
      <w:pPr>
        <w:rPr>
          <w:rFonts w:ascii="黑体" w:hAnsi="黑体" w:eastAsia="黑体"/>
          <w:b/>
          <w:color w:val="333333"/>
          <w:kern w:val="0"/>
          <w:sz w:val="36"/>
          <w:szCs w:val="36"/>
        </w:rPr>
      </w:pPr>
      <w:r>
        <w:rPr>
          <w:rFonts w:hint="eastAsia" w:ascii="黑体" w:hAnsi="黑体" w:eastAsia="黑体"/>
          <w:b/>
          <w:color w:val="333333"/>
          <w:kern w:val="0"/>
          <w:sz w:val="36"/>
          <w:szCs w:val="36"/>
        </w:rPr>
        <w:t>第四部分 部</w:t>
      </w:r>
      <w:r>
        <w:rPr>
          <w:rFonts w:ascii="黑体" w:hAnsi="黑体" w:eastAsia="黑体"/>
          <w:b/>
          <w:color w:val="333333"/>
          <w:kern w:val="0"/>
          <w:sz w:val="36"/>
          <w:szCs w:val="36"/>
        </w:rPr>
        <w:t>门</w:t>
      </w:r>
      <w:r>
        <w:rPr>
          <w:rFonts w:hint="eastAsia" w:ascii="黑体" w:hAnsi="黑体" w:eastAsia="黑体"/>
          <w:b/>
          <w:color w:val="333333"/>
          <w:kern w:val="0"/>
          <w:sz w:val="36"/>
          <w:szCs w:val="36"/>
        </w:rPr>
        <w:t>名词解释</w:t>
      </w:r>
    </w:p>
    <w:p w14:paraId="4EA6611D">
      <w:pPr>
        <w:rPr>
          <w:rFonts w:ascii="黑体" w:hAnsi="黑体" w:eastAsia="黑体"/>
          <w:b/>
          <w:color w:val="333333"/>
          <w:kern w:val="0"/>
          <w:szCs w:val="21"/>
        </w:rPr>
      </w:pPr>
    </w:p>
    <w:p w14:paraId="2A66408A">
      <w:pPr>
        <w:rPr>
          <w:rFonts w:ascii="黑体" w:hAnsi="黑体" w:eastAsia="黑体"/>
          <w:b/>
          <w:color w:val="333333"/>
          <w:kern w:val="0"/>
          <w:sz w:val="36"/>
          <w:szCs w:val="36"/>
        </w:rPr>
      </w:pPr>
      <w:r>
        <w:rPr>
          <w:rFonts w:hint="eastAsia" w:ascii="黑体" w:hAnsi="黑体" w:eastAsia="黑体"/>
          <w:b/>
          <w:color w:val="333333"/>
          <w:kern w:val="0"/>
          <w:sz w:val="36"/>
          <w:szCs w:val="36"/>
        </w:rPr>
        <w:t>内</w:t>
      </w:r>
      <w:r>
        <w:rPr>
          <w:rFonts w:ascii="黑体" w:hAnsi="黑体" w:eastAsia="黑体"/>
          <w:b/>
          <w:color w:val="333333"/>
          <w:kern w:val="0"/>
          <w:sz w:val="36"/>
          <w:szCs w:val="36"/>
        </w:rPr>
        <w:t>容</w:t>
      </w:r>
    </w:p>
    <w:p w14:paraId="6501DF78">
      <w:pPr>
        <w:rPr>
          <w:rFonts w:ascii="黑体" w:hAnsi="黑体" w:eastAsia="黑体"/>
          <w:color w:val="333333"/>
          <w:kern w:val="0"/>
          <w:sz w:val="36"/>
          <w:szCs w:val="36"/>
        </w:rPr>
      </w:pPr>
      <w:r>
        <w:rPr>
          <w:rFonts w:hint="eastAsia" w:ascii="黑体" w:hAnsi="黑体" w:eastAsia="黑体"/>
          <w:color w:val="333333"/>
          <w:kern w:val="0"/>
          <w:sz w:val="36"/>
          <w:szCs w:val="36"/>
        </w:rPr>
        <w:t>第一部分：大同市浑源县医疗保障局概况</w:t>
      </w:r>
    </w:p>
    <w:p w14:paraId="777DC729">
      <w:pPr>
        <w:numPr>
          <w:ilvl w:val="0"/>
          <w:numId w:val="1"/>
        </w:num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部门职责</w:t>
      </w:r>
    </w:p>
    <w:p w14:paraId="182DC1B8">
      <w:pPr>
        <w:numPr>
          <w:ilvl w:val="0"/>
          <w:numId w:val="2"/>
        </w:num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组织实施全县医疗保险、生育保险、医疗救助等医疗保障制度的法规、规章、政策、规划和标准。</w:t>
      </w:r>
    </w:p>
    <w:p w14:paraId="33A39535">
      <w:pPr>
        <w:numPr>
          <w:ilvl w:val="0"/>
          <w:numId w:val="2"/>
        </w:num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贯彻落实全省医疗保障基金监督管理办法，建立健全医疗保障基金安全防控机制，推进医疗保障基金支付方式改革。</w:t>
      </w:r>
    </w:p>
    <w:p w14:paraId="02412052">
      <w:pPr>
        <w:numPr>
          <w:ilvl w:val="0"/>
          <w:numId w:val="2"/>
        </w:num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组织实施省市医疗保障待遇政策，完善动态调整机制，统筹城乡医疗保障待遇标准，建立健全与筹资水平相适应的待遇调整机制；贯彻落实长期护理保险制度；负责中央、省、市驻浑和县属机关、事业、社会团体等单位的医疗保险和生育保险管理工作。</w:t>
      </w:r>
    </w:p>
    <w:p w14:paraId="71E59BE8">
      <w:pPr>
        <w:numPr>
          <w:ilvl w:val="0"/>
          <w:numId w:val="2"/>
        </w:num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贯彻落实全省城乡统一药品、医用耗材、医疗服务项目、医疗服务设施等医保目录和支付标准。</w:t>
      </w:r>
    </w:p>
    <w:p w14:paraId="43175BA9">
      <w:pPr>
        <w:numPr>
          <w:ilvl w:val="0"/>
          <w:numId w:val="2"/>
        </w:num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贯彻落实全省药品、医用耗材价格和医疗服务项目价格、医疗服务设施收费等政策；落实医保支付医药服务价格合理确定和动态调整机制，推动建立市场主导的社会医药服务价格形成机制，建立价格信息监测和信息发布制度。</w:t>
      </w:r>
    </w:p>
    <w:p w14:paraId="7DF401FA">
      <w:pPr>
        <w:numPr>
          <w:ilvl w:val="0"/>
          <w:numId w:val="2"/>
        </w:num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贯彻落实全省药品、医用耗材招标采购政策。</w:t>
      </w:r>
    </w:p>
    <w:p w14:paraId="4DEC9C03">
      <w:pPr>
        <w:numPr>
          <w:ilvl w:val="0"/>
          <w:numId w:val="2"/>
        </w:num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贯彻落实全省定点医药机构协议和医疗保障费支付管理办法，建立健全医疗保障信用评价体系和信息披露制度，监督管理纳入医保范围内的医疗服务行为和医疗费用，依法查处医疗保障领域违法违规行为。</w:t>
      </w:r>
    </w:p>
    <w:p w14:paraId="52712233">
      <w:pPr>
        <w:numPr>
          <w:ilvl w:val="0"/>
          <w:numId w:val="2"/>
        </w:num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负责全县医疗保障经办管理、公共服务体系和信息化建设，完善异地就医管理和费用结算政策；建立健全医疗保障关系转移接续制度。</w:t>
      </w:r>
    </w:p>
    <w:p w14:paraId="47F846AA">
      <w:pPr>
        <w:numPr>
          <w:ilvl w:val="0"/>
          <w:numId w:val="2"/>
        </w:num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完成县委、县人民政府交办的其他任务。</w:t>
      </w:r>
    </w:p>
    <w:p w14:paraId="51D40CC8">
      <w:pPr>
        <w:numPr>
          <w:ilvl w:val="0"/>
          <w:numId w:val="2"/>
        </w:numPr>
        <w:ind w:firstLine="640" w:firstLineChars="200"/>
        <w:rPr>
          <w:rFonts w:ascii="仿宋" w:hAnsi="仿宋" w:eastAsia="仿宋" w:cs="仿宋"/>
          <w:color w:val="333333"/>
          <w:kern w:val="0"/>
          <w:sz w:val="32"/>
          <w:szCs w:val="32"/>
        </w:rPr>
      </w:pPr>
      <w:r>
        <w:rPr>
          <w:rFonts w:hint="eastAsia" w:ascii="仿宋" w:hAnsi="仿宋" w:eastAsia="仿宋" w:cs="仿宋"/>
          <w:color w:val="000000"/>
          <w:sz w:val="32"/>
          <w:szCs w:val="32"/>
        </w:rPr>
        <w:t>职能转变。县医疗保障局应完善统一的城乡居民基本医疗保险制度和大病保险制度，建立健全覆盖全民、城乡统筹的多层次医疗保障体系，不断提高医疗保障水平，确保医保资金合理使用、安全可控，推进医疗、医保、医药“三医联动”改革，更好保障人民群众就医需求、减轻医药费用负担。</w:t>
      </w:r>
    </w:p>
    <w:p w14:paraId="04328720">
      <w:pPr>
        <w:numPr>
          <w:ilvl w:val="0"/>
          <w:numId w:val="2"/>
        </w:numPr>
        <w:ind w:firstLine="640" w:firstLineChars="200"/>
        <w:rPr>
          <w:rFonts w:ascii="仿宋" w:hAnsi="仿宋" w:eastAsia="仿宋" w:cs="仿宋"/>
          <w:color w:val="333333"/>
          <w:kern w:val="0"/>
          <w:sz w:val="32"/>
          <w:szCs w:val="32"/>
        </w:rPr>
      </w:pPr>
      <w:r>
        <w:rPr>
          <w:rFonts w:hint="eastAsia" w:ascii="仿宋" w:hAnsi="仿宋" w:eastAsia="仿宋" w:cs="仿宋"/>
          <w:color w:val="000000"/>
          <w:sz w:val="32"/>
          <w:szCs w:val="32"/>
        </w:rPr>
        <w:t>与县卫生健康和体育局的有关职责分。县卫生健康和体育局、县医疗保障局等部门在医疗、医保、医药等方面加强制度、政策衔接，建立沟通协商机制，协同推进改革，提高医疗资源使用效率和区</w:t>
      </w:r>
      <w:r>
        <w:rPr>
          <w:rFonts w:hint="eastAsia" w:ascii="仿宋" w:hAnsi="仿宋" w:eastAsia="仿宋" w:cs="仿宋"/>
          <w:color w:val="000000"/>
          <w:sz w:val="32"/>
          <w:szCs w:val="32"/>
          <w:lang w:eastAsia="zh-CN"/>
        </w:rPr>
        <w:t>医</w:t>
      </w:r>
      <w:r>
        <w:rPr>
          <w:rFonts w:hint="eastAsia" w:ascii="仿宋" w:hAnsi="仿宋" w:eastAsia="仿宋" w:cs="仿宋"/>
          <w:color w:val="000000"/>
          <w:sz w:val="32"/>
          <w:szCs w:val="32"/>
        </w:rPr>
        <w:t>疗保障水平。</w:t>
      </w:r>
      <w:bookmarkStart w:id="0" w:name="_GoBack"/>
      <w:bookmarkEnd w:id="0"/>
    </w:p>
    <w:p w14:paraId="65736D13">
      <w:pPr>
        <w:numPr>
          <w:ilvl w:val="0"/>
          <w:numId w:val="1"/>
        </w:num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机构设置</w:t>
      </w:r>
    </w:p>
    <w:p w14:paraId="1B1B1E72">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一）办公室。负责局机关日常运转工作；负责局机关和直属单位的党群、党风廉政工作；承担局机关和直属单位的人事管理、机构编制、教育培训、队伍建设等工作。组织拟订全县医疗保障工作规划。承担机关和直属单位预决算、机关财务、资产管理工作。推进医疗保障信息化建设，负责医疗保障信息统计工作。组织起草相关地方性规章草案和标准，承担规范性文件的合法性审查工作，承担行政复议、行政应诉等工作。组织编制系统内权责清单，深化简政放权，优化权力运行流程，推进政务服务标准化。负责机关和直属单位内部审计工作。</w:t>
      </w:r>
    </w:p>
    <w:p w14:paraId="704BD726">
      <w:pPr>
        <w:ind w:firstLine="640" w:firstLineChars="200"/>
        <w:rPr>
          <w:rFonts w:ascii="仿宋" w:hAnsi="仿宋" w:eastAsia="仿宋" w:cs="仿宋"/>
          <w:color w:val="000000"/>
          <w:sz w:val="32"/>
          <w:szCs w:val="32"/>
        </w:rPr>
      </w:pPr>
      <w:r>
        <w:rPr>
          <w:rFonts w:hint="eastAsia" w:ascii="仿宋" w:hAnsi="仿宋" w:eastAsia="仿宋" w:cs="仿宋"/>
          <w:color w:val="000000"/>
          <w:sz w:val="32"/>
          <w:szCs w:val="32"/>
        </w:rPr>
        <w:t>（二）综合业务股。贯彻落实全市医疗保险、生育保险及医疗救助等医疗保障筹资和待遇政策，统筹城乡医疗保障待遇标准。统筹推进多层次医疗保障体系建设。建立健全医疗保障关系转移接续制度。贯彻落实长期护理保险制度。落实中央、省、市驻浑和县属机关、事业。社会团体等单位的医疗保险、生育保险筹资和待遇政策。贯彻落实全省统一制定的医保目录和支付标准。签订全县定点医药机构医保协议，组织实施全县基金支付管理、异地就医管理办法和结算政策。组织推进医保支付方式改革。配合全省开展药品、医用耗材、医疗技术的经济性评价。</w:t>
      </w:r>
    </w:p>
    <w:p w14:paraId="080108E9">
      <w:pPr>
        <w:ind w:firstLine="640" w:firstLineChars="200"/>
        <w:rPr>
          <w:rFonts w:ascii="仿宋_GB2312" w:eastAsia="仿宋_GB2312"/>
          <w:color w:val="000000"/>
          <w:sz w:val="32"/>
          <w:szCs w:val="32"/>
        </w:rPr>
      </w:pPr>
      <w:r>
        <w:rPr>
          <w:rFonts w:hint="eastAsia" w:ascii="仿宋" w:hAnsi="仿宋" w:eastAsia="仿宋" w:cs="仿宋"/>
          <w:color w:val="000000"/>
          <w:sz w:val="32"/>
          <w:szCs w:val="32"/>
        </w:rPr>
        <w:t>（三）基金监管股。贯彻落实全省医疗保障基金监督管理办法。建立健全医疗保障基金安全防控机制，建立健全医疗保障信用评价体系和信息披露制度。监督管理纳入医保支付范围的医疗服务行为和医疗费用，贵方医保经办业务，依法查处医疗保障领域违法违规行为。落实全市药品、医用耗材价格和医疗服务项目价格、医疗服务设施收费等政策并组织实施，建林价格信息监测很欣喜发布制度。配合省市做好药品、医用耗材的招标采购、配送及结算管理并监督实施，推进招标采购平台建设</w:t>
      </w:r>
      <w:r>
        <w:rPr>
          <w:rFonts w:hint="eastAsia" w:ascii="仿宋_GB2312" w:eastAsia="仿宋_GB2312"/>
          <w:color w:val="000000"/>
          <w:sz w:val="32"/>
          <w:szCs w:val="32"/>
        </w:rPr>
        <w:t>。</w:t>
      </w:r>
    </w:p>
    <w:p w14:paraId="59B7CE0A">
      <w:pPr>
        <w:ind w:left="420" w:leftChars="200"/>
        <w:rPr>
          <w:rFonts w:ascii="宋体" w:hAnsi="宋体"/>
          <w:color w:val="333333"/>
          <w:kern w:val="0"/>
          <w:szCs w:val="21"/>
        </w:rPr>
      </w:pPr>
    </w:p>
    <w:p w14:paraId="5B3DF53F">
      <w:pPr>
        <w:ind w:left="420" w:leftChars="200"/>
        <w:rPr>
          <w:rFonts w:ascii="宋体" w:hAnsi="宋体"/>
          <w:color w:val="333333"/>
          <w:kern w:val="0"/>
          <w:szCs w:val="21"/>
        </w:rPr>
      </w:pPr>
    </w:p>
    <w:p w14:paraId="5376661C">
      <w:pPr>
        <w:rPr>
          <w:rFonts w:ascii="黑体" w:hAnsi="黑体" w:eastAsia="黑体"/>
          <w:color w:val="333333"/>
          <w:kern w:val="0"/>
          <w:sz w:val="36"/>
          <w:szCs w:val="36"/>
        </w:rPr>
      </w:pPr>
      <w:r>
        <w:rPr>
          <w:rFonts w:hint="eastAsia" w:ascii="黑体" w:hAnsi="黑体" w:eastAsia="黑体"/>
          <w:color w:val="333333"/>
          <w:kern w:val="0"/>
          <w:sz w:val="36"/>
          <w:szCs w:val="36"/>
        </w:rPr>
        <w:t>第二部分：2020年度部门决算公开报表</w:t>
      </w:r>
    </w:p>
    <w:p w14:paraId="01163E58">
      <w:pPr>
        <w:rPr>
          <w:rFonts w:ascii="宋体" w:hAnsi="宋体"/>
          <w:color w:val="333333"/>
          <w:kern w:val="0"/>
          <w:szCs w:val="21"/>
        </w:rPr>
      </w:pPr>
      <w:r>
        <w:rPr>
          <w:rFonts w:hint="eastAsia" w:ascii="仿宋" w:hAnsi="仿宋" w:eastAsia="仿宋" w:cs="仿宋"/>
          <w:color w:val="333333"/>
          <w:kern w:val="0"/>
          <w:sz w:val="30"/>
          <w:szCs w:val="30"/>
        </w:rPr>
        <w:t>附件：大同市浑源县医疗保障局2020年度部门决算公开报表.xls</w:t>
      </w:r>
    </w:p>
    <w:p w14:paraId="74863CEC">
      <w:pPr>
        <w:rPr>
          <w:rFonts w:ascii="黑体" w:hAnsi="黑体" w:eastAsia="黑体"/>
          <w:color w:val="333333"/>
          <w:kern w:val="0"/>
          <w:sz w:val="36"/>
          <w:szCs w:val="36"/>
        </w:rPr>
      </w:pPr>
      <w:r>
        <w:rPr>
          <w:rFonts w:hint="eastAsia" w:ascii="黑体" w:hAnsi="黑体" w:eastAsia="黑体"/>
          <w:color w:val="333333"/>
          <w:kern w:val="0"/>
          <w:sz w:val="36"/>
          <w:szCs w:val="36"/>
        </w:rPr>
        <w:t>第三部分：2020年度部门决算情况说明</w:t>
      </w:r>
    </w:p>
    <w:p w14:paraId="53575707">
      <w:pPr>
        <w:pStyle w:val="4"/>
        <w:numPr>
          <w:ilvl w:val="0"/>
          <w:numId w:val="3"/>
        </w:numPr>
        <w:ind w:firstLine="288" w:firstLineChars="90"/>
        <w:rPr>
          <w:rFonts w:ascii="仿宋" w:hAnsi="仿宋" w:eastAsia="仿宋" w:cs="仿宋"/>
          <w:color w:val="333333"/>
          <w:kern w:val="0"/>
          <w:sz w:val="32"/>
          <w:szCs w:val="32"/>
        </w:rPr>
      </w:pPr>
      <w:r>
        <w:rPr>
          <w:rFonts w:hint="eastAsia" w:ascii="仿宋" w:hAnsi="仿宋" w:eastAsia="仿宋" w:cs="仿宋"/>
          <w:color w:val="333333"/>
          <w:kern w:val="0"/>
          <w:sz w:val="32"/>
          <w:szCs w:val="32"/>
        </w:rPr>
        <w:t>决算收入情况</w:t>
      </w:r>
    </w:p>
    <w:p w14:paraId="3D055F36">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本单位本年度总收入为14.84万元，上年度总收入为0万元，增减0 %。其中：一般公共预算财政拨款本年度收入为14.84万元，上年度收入为0万元，增减0 %；政府性基金预算财政拨款本年度收入为0万元，上年度收入为0万元，增减0 %；事业收入本年度收入为0万元，上年度收入为0万元，增减0%；其他收入本年度收入为0万元，上年度收入为0万元，增减0%。</w:t>
      </w:r>
    </w:p>
    <w:p w14:paraId="6443D128">
      <w:pPr>
        <w:pStyle w:val="4"/>
        <w:numPr>
          <w:ilvl w:val="0"/>
          <w:numId w:val="3"/>
        </w:numPr>
        <w:ind w:firstLine="288" w:firstLineChars="90"/>
        <w:rPr>
          <w:rFonts w:ascii="仿宋" w:hAnsi="仿宋" w:eastAsia="仿宋" w:cs="仿宋"/>
          <w:color w:val="333333"/>
          <w:kern w:val="0"/>
          <w:sz w:val="32"/>
          <w:szCs w:val="32"/>
        </w:rPr>
      </w:pPr>
      <w:r>
        <w:rPr>
          <w:rFonts w:hint="eastAsia" w:ascii="仿宋" w:hAnsi="仿宋" w:eastAsia="仿宋" w:cs="仿宋"/>
          <w:color w:val="333333"/>
          <w:kern w:val="0"/>
          <w:sz w:val="32"/>
          <w:szCs w:val="32"/>
        </w:rPr>
        <w:t>决算支出情况</w:t>
      </w:r>
    </w:p>
    <w:p w14:paraId="58FC9BA4">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本单位本年度总支出为14.84万元，上年度总支出为0万元，增减0%。其中：基本支出本年度支出为14.84万元，上年度支出为0万元，增减0 %；项目支出本年度支出为0万元，上年度支出为0万元，增减0%。</w:t>
      </w:r>
    </w:p>
    <w:p w14:paraId="1911C358">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三、“三公”经费情况</w:t>
      </w:r>
    </w:p>
    <w:p w14:paraId="4DD56059">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本单位本年度“三公”经费总支出为0万元，上年度支出为0万元，增减0 %；其中：因公出国（境）费本年度支出0万元，上年度支出为0万元，增减0%；公务用车购置及运行维护费支出为0万元，上年度支出为0万元，增减0%；公务接待费支出为0万元，上年度支出为0万元，增减0%。</w:t>
      </w:r>
    </w:p>
    <w:p w14:paraId="1E8237BB">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四、机关运行经费情况</w:t>
      </w:r>
    </w:p>
    <w:p w14:paraId="337C97F5">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本单位本年度机关运行经费总支出为8.51万元，上年度支出为0万元，增减0 %；主要为日常办公费、水电、差旅、印刷、委托业务费等费用。</w:t>
      </w:r>
    </w:p>
    <w:p w14:paraId="6B5E213E">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五、政府决算采购情况说明</w:t>
      </w:r>
    </w:p>
    <w:p w14:paraId="351EBC23">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本单位本年度政府采购总价为1.54万元，其中：货物采购1.54万元，工程采购0万元，服务采购0万元。</w:t>
      </w:r>
    </w:p>
    <w:p w14:paraId="1D35B0ED">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六、国有资产占有使用情况</w:t>
      </w:r>
    </w:p>
    <w:p w14:paraId="2FB78D4C">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（1）房屋情况</w:t>
      </w:r>
    </w:p>
    <w:p w14:paraId="6878068F">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截止2020年12月31日， 我单位产权房屋面积为0平方米，价值0万元。</w:t>
      </w:r>
    </w:p>
    <w:p w14:paraId="0F5E45CD">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（2）车辆情况</w:t>
      </w:r>
    </w:p>
    <w:p w14:paraId="7B1FC66D">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 xml:space="preserve"> 单位账面车辆为0辆，价值0万元。</w:t>
      </w:r>
    </w:p>
    <w:p w14:paraId="5C4036E9">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七、绩效情况说明</w:t>
      </w:r>
    </w:p>
    <w:p w14:paraId="784F515D">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2020年度，本单位实行绩效目标管理的项目0个。</w:t>
      </w:r>
    </w:p>
    <w:p w14:paraId="0B4A1B36">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第四部分 部门名词解释</w:t>
      </w:r>
    </w:p>
    <w:p w14:paraId="07C3A7A0">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一、财政拨款：财政拨款包括一般公共预算财政拨款、政府性基金预算财政拨款和国有资本经营预算财政拨款。</w:t>
      </w:r>
    </w:p>
    <w:p w14:paraId="0FF8948D">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45C63D6B">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1FBEB2FE">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3、国有资本经营预算。是国家以所有者身份依法取得国有资本收益，并对所得收益进行分配而发生的各项收支预算。国有资本经营预算应当按照收支平衡原则编制，不列赤字，并安排资金调入一般公共预算。</w:t>
      </w:r>
    </w:p>
    <w:p w14:paraId="7D502AB1">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二、收入</w:t>
      </w:r>
    </w:p>
    <w:p w14:paraId="7BBF417C">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1、财政拨款收入：单位本年度从本级财政部门取得的财政拨款，包括一般公共预算财政拨款、政府性基金预算财政拨款和国有资本经营预算财政拨款。</w:t>
      </w:r>
    </w:p>
    <w:p w14:paraId="453F0B14">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一级预算单位收到的应拨给下级单位使用的款项，年终决算时尚未拨出的，在编报时列为本单位财政拨款。</w:t>
      </w:r>
    </w:p>
    <w:p w14:paraId="32835AB3">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2、上级补助收入：填列事业单位从主管部门和上级单位取得的非财政补助收入。</w:t>
      </w:r>
    </w:p>
    <w:p w14:paraId="1E2C5C0A">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3、事业收入：填列事业单位开展专业业务活动及其辅助活动取得的收入；事业单位收到的财政专户实际核拨的教育收费等资金在此反映。</w:t>
      </w:r>
    </w:p>
    <w:p w14:paraId="4DF70AFB">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4、经营收入：填列事业单位在专业业务活动及其辅助活动之外开展非独立核算经营活动取得的收入。</w:t>
      </w:r>
    </w:p>
    <w:p w14:paraId="74C3E6F2">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5、附属单位上缴收入：填列事业单位附独立核算单位按照有关规定上缴的收入。</w:t>
      </w:r>
    </w:p>
    <w:p w14:paraId="03B3E6DA">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0AB1112D">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事业单位开展专业业务活动及辅助活动并以合同形式从本级财政部门以外的同级单位取得的经费，不在本项反映，应填列在“事业收入”栏。</w:t>
      </w:r>
    </w:p>
    <w:p w14:paraId="64092680">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三、支出</w:t>
      </w:r>
    </w:p>
    <w:p w14:paraId="0118DFEE">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1、基本支出：填列单位为保障机构正常运转、完成日常工作任务而发生的各项支出。</w:t>
      </w:r>
    </w:p>
    <w:p w14:paraId="4900EB9D">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2、项目支出：填列单位为完成特定的行政工作任务或事业发展目标，在基本支出之外发生的各项支出。</w:t>
      </w:r>
    </w:p>
    <w:p w14:paraId="1D5FFD6C">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3、上缴上级支出：填列事业单位按照财政部门和主管部门的规定上缴上级单位的支出。</w:t>
      </w:r>
    </w:p>
    <w:p w14:paraId="6588F681">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4、经营支出：填列事业单位在专业活动及辅助活动之外开展非独立核算经营活动发生的支出。</w:t>
      </w:r>
    </w:p>
    <w:p w14:paraId="49AE1B04">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5、附属单位补助支出：填列事业单位用财政补助收入之外的收入对附属单位补助发生的支出。</w:t>
      </w:r>
    </w:p>
    <w:p w14:paraId="733DB669">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6、主管部门在汇总决算时，应使用调整表对“上缴上级支出”“对附属单位补助支出”与收入表中“附属单位上缴收入”“上级补助收入”进行冲抵。</w:t>
      </w:r>
    </w:p>
    <w:p w14:paraId="1645397F">
      <w:pPr>
        <w:ind w:firstLine="640" w:firstLineChars="200"/>
        <w:rPr>
          <w:rFonts w:ascii="仿宋" w:hAnsi="仿宋" w:eastAsia="仿宋" w:cs="仿宋"/>
          <w:color w:val="333333"/>
          <w:kern w:val="0"/>
          <w:sz w:val="32"/>
          <w:szCs w:val="32"/>
        </w:rPr>
      </w:pPr>
      <w:r>
        <w:rPr>
          <w:rFonts w:hint="eastAsia" w:ascii="仿宋" w:hAnsi="仿宋" w:eastAsia="仿宋" w:cs="仿宋"/>
          <w:color w:val="333333"/>
          <w:kern w:val="0"/>
          <w:sz w:val="32"/>
          <w:szCs w:val="32"/>
        </w:rPr>
        <w:t>四、“三公”经费：一般公共预算安排的因公出国（境）费、公务用车购置及运行费和公务接待费。</w:t>
      </w:r>
    </w:p>
    <w:p w14:paraId="5A421226"/>
    <w:p w14:paraId="7D0743DD"/>
    <w:p w14:paraId="20626D3C"/>
    <w:p w14:paraId="473711DA">
      <w:pPr>
        <w:rPr>
          <w:rFonts w:ascii="仿宋" w:hAnsi="仿宋" w:eastAsia="仿宋" w:cs="仿宋"/>
          <w:sz w:val="32"/>
          <w:szCs w:val="32"/>
        </w:rPr>
        <w:sectPr>
          <w:pgSz w:w="11906" w:h="16838"/>
          <w:pgMar w:top="1440" w:right="1800" w:bottom="1440" w:left="1800" w:header="851" w:footer="992" w:gutter="0"/>
          <w:pgNumType w:start="1"/>
          <w:cols w:space="425" w:num="1"/>
          <w:docGrid w:type="lines" w:linePitch="312" w:charSpace="0"/>
        </w:sectPr>
      </w:pPr>
      <w:r>
        <w:rPr>
          <w:rFonts w:hint="eastAsia"/>
        </w:rPr>
        <w:t xml:space="preserve">         </w:t>
      </w:r>
      <w:r>
        <w:t xml:space="preserve">                                              </w:t>
      </w:r>
      <w:r>
        <w:rPr>
          <w:sz w:val="32"/>
          <w:szCs w:val="32"/>
        </w:rPr>
        <w:t xml:space="preserve"> </w:t>
      </w:r>
      <w:r>
        <w:rPr>
          <w:rFonts w:hint="eastAsia" w:ascii="仿宋" w:hAnsi="仿宋" w:eastAsia="仿宋" w:cs="仿宋"/>
          <w:sz w:val="32"/>
          <w:szCs w:val="32"/>
        </w:rPr>
        <w:t xml:space="preserve"> 202</w:t>
      </w:r>
      <w:r>
        <w:rPr>
          <w:rFonts w:ascii="仿宋" w:hAnsi="仿宋" w:eastAsia="仿宋" w:cs="仿宋"/>
          <w:sz w:val="32"/>
          <w:szCs w:val="32"/>
        </w:rPr>
        <w:t>1</w:t>
      </w:r>
      <w:r>
        <w:rPr>
          <w:rFonts w:hint="eastAsia" w:ascii="仿宋" w:hAnsi="仿宋" w:eastAsia="仿宋" w:cs="仿宋"/>
          <w:sz w:val="32"/>
          <w:szCs w:val="32"/>
        </w:rPr>
        <w:t>年8月9日</w:t>
      </w:r>
    </w:p>
    <w:p w14:paraId="52B4078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79104A"/>
    <w:multiLevelType w:val="singleLevel"/>
    <w:tmpl w:val="9C79104A"/>
    <w:lvl w:ilvl="0" w:tentative="0">
      <w:start w:val="1"/>
      <w:numFmt w:val="chineseCounting"/>
      <w:suff w:val="nothing"/>
      <w:lvlText w:val="%1、"/>
      <w:lvlJc w:val="left"/>
      <w:rPr>
        <w:rFonts w:hint="eastAsia"/>
      </w:rPr>
    </w:lvl>
  </w:abstractNum>
  <w:abstractNum w:abstractNumId="1">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FF69D62"/>
    <w:multiLevelType w:val="singleLevel"/>
    <w:tmpl w:val="2FF69D62"/>
    <w:lvl w:ilvl="0" w:tentative="0">
      <w:start w:val="1"/>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0BF"/>
    <w:rsid w:val="00227BF1"/>
    <w:rsid w:val="004B50BF"/>
    <w:rsid w:val="004D1A87"/>
    <w:rsid w:val="00AA63B0"/>
    <w:rsid w:val="0802765A"/>
    <w:rsid w:val="121A64FF"/>
    <w:rsid w:val="2D392E8A"/>
    <w:rsid w:val="445F6386"/>
    <w:rsid w:val="4E5B4D92"/>
    <w:rsid w:val="69286A4B"/>
    <w:rsid w:val="75F133AF"/>
    <w:rsid w:val="7E8C12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3747</Words>
  <Characters>3852</Characters>
  <Lines>28</Lines>
  <Paragraphs>8</Paragraphs>
  <TotalTime>26</TotalTime>
  <ScaleCrop>false</ScaleCrop>
  <LinksUpToDate>false</LinksUpToDate>
  <CharactersWithSpaces>3932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8</dc:creator>
  <cp:lastModifiedBy>刘萍</cp:lastModifiedBy>
  <cp:lastPrinted>2021-08-24T07:51:00Z</cp:lastPrinted>
  <dcterms:modified xsi:type="dcterms:W3CDTF">2025-07-23T10:06:51Z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A44BBE6BA80C42A09EDCC82D424F349F</vt:lpwstr>
  </property>
  <property fmtid="{D5CDD505-2E9C-101B-9397-08002B2CF9AE}" pid="4" name="KSOTemplateDocerSaveRecord">
    <vt:lpwstr>eyJoZGlkIjoiODM2MGQ5OTA4MzQzODIzZGFjMzUzMjljNzgyYTQ3NTMiLCJ1c2VySWQiOiIzNjcyOTAzODIifQ==</vt:lpwstr>
  </property>
</Properties>
</file>