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585" w:rsidRDefault="006C522A">
      <w:pPr>
        <w:jc w:val="center"/>
        <w:rPr>
          <w:rFonts w:ascii="黑体" w:eastAsia="黑体" w:hAnsi="黑体"/>
          <w:sz w:val="36"/>
          <w:szCs w:val="36"/>
        </w:rPr>
      </w:pPr>
      <w:r w:rsidRPr="007B3585">
        <w:rPr>
          <w:rFonts w:ascii="黑体" w:eastAsia="黑体" w:hAnsi="黑体" w:hint="eastAsia"/>
          <w:color w:val="000000" w:themeColor="text1"/>
          <w:sz w:val="36"/>
          <w:szCs w:val="36"/>
        </w:rPr>
        <w:t>大同市浑源县中小企业服务中心</w:t>
      </w:r>
    </w:p>
    <w:p w:rsidR="00032BCB" w:rsidRDefault="006C522A">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032BCB" w:rsidRDefault="006C522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032BCB" w:rsidRDefault="006C522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032BCB" w:rsidRDefault="006C522A">
      <w:pPr>
        <w:numPr>
          <w:ilvl w:val="0"/>
          <w:numId w:val="1"/>
        </w:numPr>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032BCB" w:rsidRDefault="006C522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032BCB" w:rsidRDefault="006C522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032BCB" w:rsidRDefault="006C522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032BCB" w:rsidRDefault="00032BCB">
      <w:pPr>
        <w:rPr>
          <w:rFonts w:ascii="仿宋" w:eastAsia="仿宋" w:hAnsi="仿宋" w:cs="仿宋"/>
          <w:b/>
          <w:color w:val="333333"/>
          <w:kern w:val="0"/>
          <w:sz w:val="32"/>
          <w:szCs w:val="32"/>
        </w:rPr>
      </w:pPr>
    </w:p>
    <w:p w:rsidR="00032BCB" w:rsidRDefault="006C522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第一部分：大同市浑源县中小企业服务中心概况</w:t>
      </w:r>
    </w:p>
    <w:p w:rsidR="00032BCB" w:rsidRDefault="006C522A">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032BCB" w:rsidRDefault="006C522A" w:rsidP="007B3585">
      <w:pPr>
        <w:spacing w:line="360" w:lineRule="auto"/>
        <w:ind w:firstLineChars="150" w:firstLine="480"/>
        <w:rPr>
          <w:rFonts w:ascii="仿宋" w:eastAsia="仿宋" w:hAnsi="仿宋" w:cs="仿宋"/>
          <w:sz w:val="32"/>
          <w:szCs w:val="32"/>
        </w:rPr>
      </w:pPr>
      <w:r>
        <w:rPr>
          <w:rFonts w:ascii="仿宋" w:eastAsia="仿宋" w:hAnsi="仿宋" w:cs="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032BCB" w:rsidRPr="007B3585" w:rsidRDefault="006C522A" w:rsidP="007B3585">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（二）</w:t>
      </w:r>
      <w:r>
        <w:rPr>
          <w:rFonts w:ascii="仿宋" w:eastAsia="仿宋" w:hAnsi="仿宋" w:cs="仿宋" w:hint="eastAsia"/>
          <w:sz w:val="32"/>
          <w:szCs w:val="32"/>
        </w:rPr>
        <w:t>为发展中小企业提供服务。承担全县乡镇企业、民营企业和中小企业的服务职能。</w:t>
      </w:r>
    </w:p>
    <w:p w:rsidR="00032BCB" w:rsidRDefault="007B3585" w:rsidP="007B3585">
      <w:pPr>
        <w:numPr>
          <w:ilvl w:val="0"/>
          <w:numId w:val="2"/>
        </w:numPr>
        <w:ind w:firstLineChars="221" w:firstLine="707"/>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sidR="006C522A">
        <w:rPr>
          <w:rFonts w:ascii="仿宋" w:eastAsia="仿宋" w:hAnsi="仿宋" w:cs="仿宋" w:hint="eastAsia"/>
          <w:color w:val="333333"/>
          <w:kern w:val="0"/>
          <w:sz w:val="32"/>
          <w:szCs w:val="32"/>
        </w:rPr>
        <w:t>机构设置</w:t>
      </w:r>
    </w:p>
    <w:p w:rsidR="00032BCB" w:rsidRDefault="006C522A">
      <w:pPr>
        <w:numPr>
          <w:ilvl w:val="0"/>
          <w:numId w:val="3"/>
        </w:numPr>
        <w:spacing w:line="360" w:lineRule="auto"/>
        <w:rPr>
          <w:rFonts w:ascii="仿宋" w:eastAsia="仿宋" w:hAnsi="仿宋" w:cs="仿宋"/>
          <w:sz w:val="32"/>
          <w:szCs w:val="32"/>
        </w:rPr>
      </w:pPr>
      <w:r>
        <w:rPr>
          <w:rFonts w:ascii="仿宋" w:eastAsia="仿宋" w:hAnsi="仿宋" w:cs="仿宋" w:hint="eastAsia"/>
          <w:sz w:val="32"/>
          <w:szCs w:val="32"/>
        </w:rPr>
        <w:t>综合办公室</w:t>
      </w:r>
      <w:r>
        <w:rPr>
          <w:rFonts w:ascii="仿宋" w:eastAsia="仿宋" w:hAnsi="仿宋" w:cs="仿宋" w:hint="eastAsia"/>
          <w:sz w:val="32"/>
          <w:szCs w:val="32"/>
        </w:rPr>
        <w:t xml:space="preserve">   </w:t>
      </w:r>
      <w:r>
        <w:rPr>
          <w:rFonts w:ascii="仿宋" w:eastAsia="仿宋" w:hAnsi="仿宋" w:cs="仿宋" w:hint="eastAsia"/>
          <w:sz w:val="32"/>
          <w:szCs w:val="32"/>
        </w:rPr>
        <w:t>（二）</w:t>
      </w:r>
      <w:r>
        <w:rPr>
          <w:rFonts w:ascii="仿宋" w:eastAsia="仿宋" w:hAnsi="仿宋" w:cs="仿宋" w:hint="eastAsia"/>
          <w:sz w:val="32"/>
          <w:szCs w:val="32"/>
        </w:rPr>
        <w:t>财务规划股</w:t>
      </w:r>
    </w:p>
    <w:p w:rsidR="00032BCB" w:rsidRDefault="006C522A">
      <w:pPr>
        <w:spacing w:line="360" w:lineRule="auto"/>
        <w:ind w:left="630"/>
        <w:rPr>
          <w:rFonts w:ascii="仿宋" w:eastAsia="仿宋" w:hAnsi="仿宋" w:cs="仿宋"/>
          <w:sz w:val="32"/>
          <w:szCs w:val="32"/>
        </w:rPr>
      </w:pPr>
      <w:r>
        <w:rPr>
          <w:rFonts w:ascii="仿宋" w:eastAsia="仿宋" w:hAnsi="仿宋" w:cs="仿宋" w:hint="eastAsia"/>
          <w:sz w:val="32"/>
          <w:szCs w:val="32"/>
        </w:rPr>
        <w:t>（三）</w:t>
      </w:r>
      <w:r>
        <w:rPr>
          <w:rFonts w:ascii="仿宋" w:eastAsia="仿宋" w:hAnsi="仿宋" w:cs="仿宋" w:hint="eastAsia"/>
          <w:sz w:val="32"/>
          <w:szCs w:val="32"/>
        </w:rPr>
        <w:t>经营</w:t>
      </w:r>
      <w:proofErr w:type="gramStart"/>
      <w:r>
        <w:rPr>
          <w:rFonts w:ascii="仿宋" w:eastAsia="仿宋" w:hAnsi="仿宋" w:cs="仿宋" w:hint="eastAsia"/>
          <w:sz w:val="32"/>
          <w:szCs w:val="32"/>
        </w:rPr>
        <w:t>监测股</w:t>
      </w:r>
      <w:proofErr w:type="gramEnd"/>
      <w:r>
        <w:rPr>
          <w:rFonts w:ascii="仿宋" w:eastAsia="仿宋" w:hAnsi="仿宋" w:cs="仿宋" w:hint="eastAsia"/>
          <w:sz w:val="32"/>
          <w:szCs w:val="32"/>
        </w:rPr>
        <w:t xml:space="preserve">   </w:t>
      </w:r>
      <w:r>
        <w:rPr>
          <w:rFonts w:ascii="仿宋" w:eastAsia="仿宋" w:hAnsi="仿宋" w:cs="仿宋" w:hint="eastAsia"/>
          <w:sz w:val="32"/>
          <w:szCs w:val="32"/>
        </w:rPr>
        <w:t>（四）</w:t>
      </w:r>
      <w:r>
        <w:rPr>
          <w:rFonts w:ascii="仿宋" w:eastAsia="仿宋" w:hAnsi="仿宋" w:cs="仿宋" w:hint="eastAsia"/>
          <w:sz w:val="32"/>
          <w:szCs w:val="32"/>
        </w:rPr>
        <w:t>科技教育股</w:t>
      </w:r>
    </w:p>
    <w:p w:rsidR="00032BCB" w:rsidRDefault="00032BCB">
      <w:pPr>
        <w:ind w:leftChars="200" w:left="420"/>
        <w:rPr>
          <w:rFonts w:ascii="仿宋" w:eastAsia="仿宋" w:hAnsi="仿宋" w:cs="仿宋"/>
          <w:color w:val="333333"/>
          <w:kern w:val="0"/>
          <w:sz w:val="32"/>
          <w:szCs w:val="32"/>
        </w:rPr>
      </w:pP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附件：大同市浑源县中小企业服务中心</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032BCB" w:rsidRDefault="006C522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032BCB" w:rsidRDefault="006C522A" w:rsidP="006C522A">
      <w:pPr>
        <w:pStyle w:val="a3"/>
        <w:numPr>
          <w:ilvl w:val="0"/>
          <w:numId w:val="4"/>
        </w:numPr>
        <w:ind w:firstLineChars="45" w:firstLine="144"/>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032BCB" w:rsidRDefault="006C522A" w:rsidP="006C522A">
      <w:pPr>
        <w:ind w:firstLineChars="195" w:firstLine="624"/>
        <w:rPr>
          <w:rFonts w:ascii="仿宋" w:eastAsia="仿宋" w:hAnsi="仿宋" w:cs="仿宋"/>
          <w:color w:val="333333"/>
          <w:kern w:val="0"/>
          <w:sz w:val="32"/>
          <w:szCs w:val="32"/>
        </w:rPr>
      </w:pPr>
      <w:bookmarkStart w:id="0" w:name="_GoBack"/>
      <w:bookmarkEnd w:id="0"/>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162.56</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274.44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-40.77 %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162.56</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274.42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-40.76 %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-96.63%</w:t>
      </w:r>
      <w:r>
        <w:rPr>
          <w:rFonts w:ascii="仿宋" w:eastAsia="仿宋" w:hAnsi="仿宋" w:cs="仿宋" w:hint="eastAsia"/>
          <w:color w:val="333333"/>
          <w:kern w:val="0"/>
          <w:sz w:val="32"/>
          <w:szCs w:val="32"/>
        </w:rPr>
        <w:t>。</w:t>
      </w:r>
    </w:p>
    <w:p w:rsidR="00032BCB" w:rsidRDefault="006C522A" w:rsidP="006C522A">
      <w:pPr>
        <w:pStyle w:val="a3"/>
        <w:numPr>
          <w:ilvl w:val="0"/>
          <w:numId w:val="4"/>
        </w:numPr>
        <w:ind w:firstLineChars="45" w:firstLine="144"/>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162.56</w:t>
      </w:r>
      <w:r>
        <w:rPr>
          <w:rFonts w:ascii="仿宋" w:eastAsia="仿宋" w:hAnsi="仿宋" w:cs="仿宋" w:hint="eastAsia"/>
          <w:color w:val="333333"/>
          <w:kern w:val="0"/>
          <w:sz w:val="32"/>
          <w:szCs w:val="32"/>
        </w:rPr>
        <w:t>万</w:t>
      </w:r>
      <w:r>
        <w:rPr>
          <w:rFonts w:ascii="仿宋" w:eastAsia="仿宋" w:hAnsi="仿宋" w:cs="仿宋" w:hint="eastAsia"/>
          <w:color w:val="333333"/>
          <w:kern w:val="0"/>
          <w:sz w:val="32"/>
          <w:szCs w:val="32"/>
        </w:rPr>
        <w:t>元，上年度总支出为</w:t>
      </w:r>
      <w:r>
        <w:rPr>
          <w:rFonts w:ascii="仿宋" w:eastAsia="仿宋" w:hAnsi="仿宋" w:cs="仿宋" w:hint="eastAsia"/>
          <w:color w:val="333333"/>
          <w:kern w:val="0"/>
          <w:sz w:val="32"/>
          <w:szCs w:val="32"/>
        </w:rPr>
        <w:t>274.45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-40.77 %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108.73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126.45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-14.01 %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53.83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148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-63.63 %</w:t>
      </w:r>
      <w:r>
        <w:rPr>
          <w:rFonts w:ascii="仿宋" w:eastAsia="仿宋" w:hAnsi="仿宋" w:cs="仿宋" w:hint="eastAsia"/>
          <w:color w:val="333333"/>
          <w:kern w:val="0"/>
          <w:sz w:val="32"/>
          <w:szCs w:val="32"/>
        </w:rPr>
        <w:t>。</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w:t>
      </w:r>
      <w:r>
        <w:rPr>
          <w:rFonts w:ascii="仿宋" w:eastAsia="仿宋" w:hAnsi="仿宋" w:cs="仿宋" w:hint="eastAsia"/>
          <w:color w:val="333333"/>
          <w:kern w:val="0"/>
          <w:sz w:val="32"/>
          <w:szCs w:val="32"/>
        </w:rPr>
        <w:lastRenderedPageBreak/>
        <w:t>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5.39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9.9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-45.55 %</w:t>
      </w:r>
      <w:r>
        <w:rPr>
          <w:rFonts w:ascii="仿宋" w:eastAsia="仿宋" w:hAnsi="仿宋" w:cs="仿宋" w:hint="eastAsia"/>
          <w:color w:val="333333"/>
          <w:kern w:val="0"/>
          <w:sz w:val="32"/>
          <w:szCs w:val="32"/>
        </w:rPr>
        <w:t>；主要为日常办公费、水电、差旅、印刷、委托业务费等费用。</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w:t>
      </w:r>
      <w:r>
        <w:rPr>
          <w:rFonts w:ascii="仿宋" w:eastAsia="仿宋" w:hAnsi="仿宋" w:cs="仿宋" w:hint="eastAsia"/>
          <w:color w:val="333333"/>
          <w:kern w:val="0"/>
          <w:sz w:val="32"/>
          <w:szCs w:val="32"/>
        </w:rPr>
        <w:lastRenderedPageBreak/>
        <w:t>安排用于保障和改善民生、推动经济社会发展、维护国家安全、维持国家机构正常运转等方面的收支预算。透过一般公共预算，可以使人们了解政府活动的范围和方向，也可以体现政府政策意图和目标。</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w:t>
      </w:r>
      <w:r>
        <w:rPr>
          <w:rFonts w:ascii="仿宋" w:eastAsia="仿宋" w:hAnsi="仿宋" w:cs="仿宋" w:hint="eastAsia"/>
          <w:color w:val="333333"/>
          <w:kern w:val="0"/>
          <w:sz w:val="32"/>
          <w:szCs w:val="32"/>
        </w:rPr>
        <w:t>票等其他方式筹集的资金，专项用于特定公共事业发展的收支预算。其收入归属政府，不归属任何部门。</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w:t>
      </w:r>
      <w:r>
        <w:rPr>
          <w:rFonts w:ascii="仿宋" w:eastAsia="仿宋" w:hAnsi="仿宋" w:cs="仿宋" w:hint="eastAsia"/>
          <w:color w:val="333333"/>
          <w:kern w:val="0"/>
          <w:sz w:val="32"/>
          <w:szCs w:val="32"/>
        </w:rPr>
        <w:lastRenderedPageBreak/>
        <w:t>育收费等资金在此反映。</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w:t>
      </w:r>
      <w:r>
        <w:rPr>
          <w:rFonts w:ascii="仿宋" w:eastAsia="仿宋" w:hAnsi="仿宋" w:cs="仿宋" w:hint="eastAsia"/>
          <w:color w:val="333333"/>
          <w:kern w:val="0"/>
          <w:sz w:val="32"/>
          <w:szCs w:val="32"/>
        </w:rPr>
        <w:t>，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w:t>
      </w:r>
      <w:r>
        <w:rPr>
          <w:rFonts w:ascii="仿宋" w:eastAsia="仿宋" w:hAnsi="仿宋" w:cs="仿宋" w:hint="eastAsia"/>
          <w:color w:val="333333"/>
          <w:kern w:val="0"/>
          <w:sz w:val="32"/>
          <w:szCs w:val="32"/>
        </w:rPr>
        <w:t>发生的各项支出。</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w:t>
      </w:r>
      <w:r>
        <w:rPr>
          <w:rFonts w:ascii="仿宋" w:eastAsia="仿宋" w:hAnsi="仿宋" w:cs="仿宋" w:hint="eastAsia"/>
          <w:color w:val="333333"/>
          <w:kern w:val="0"/>
          <w:sz w:val="32"/>
          <w:szCs w:val="32"/>
        </w:rPr>
        <w:lastRenderedPageBreak/>
        <w:t>外开展非独立核算经营活动发生的支出。</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032BCB" w:rsidRDefault="006C522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032BCB" w:rsidRDefault="00032BCB">
      <w:pPr>
        <w:rPr>
          <w:rFonts w:ascii="仿宋" w:eastAsia="仿宋" w:hAnsi="仿宋" w:cs="仿宋"/>
          <w:sz w:val="32"/>
          <w:szCs w:val="32"/>
        </w:rPr>
      </w:pPr>
    </w:p>
    <w:p w:rsidR="00032BCB" w:rsidRDefault="00032BCB">
      <w:pPr>
        <w:rPr>
          <w:rFonts w:ascii="仿宋" w:eastAsia="仿宋" w:hAnsi="仿宋" w:cs="仿宋"/>
          <w:sz w:val="32"/>
          <w:szCs w:val="32"/>
        </w:rPr>
      </w:pPr>
    </w:p>
    <w:p w:rsidR="00032BCB" w:rsidRDefault="00032BCB">
      <w:pPr>
        <w:rPr>
          <w:rFonts w:ascii="仿宋" w:eastAsia="仿宋" w:hAnsi="仿宋" w:cs="仿宋"/>
          <w:sz w:val="32"/>
          <w:szCs w:val="32"/>
        </w:rPr>
      </w:pPr>
    </w:p>
    <w:p w:rsidR="00032BCB" w:rsidRDefault="00032BCB">
      <w:pPr>
        <w:rPr>
          <w:rFonts w:ascii="仿宋" w:eastAsia="仿宋" w:hAnsi="仿宋" w:cs="仿宋"/>
          <w:sz w:val="32"/>
          <w:szCs w:val="32"/>
        </w:rPr>
      </w:pPr>
    </w:p>
    <w:p w:rsidR="00032BCB" w:rsidRDefault="00032BCB">
      <w:pPr>
        <w:rPr>
          <w:rFonts w:ascii="仿宋" w:eastAsia="仿宋" w:hAnsi="仿宋" w:cs="仿宋"/>
          <w:sz w:val="32"/>
          <w:szCs w:val="32"/>
        </w:rPr>
      </w:pPr>
    </w:p>
    <w:p w:rsidR="00032BCB" w:rsidRDefault="006C522A">
      <w:pPr>
        <w:rPr>
          <w:rFonts w:ascii="仿宋" w:eastAsia="仿宋" w:hAnsi="仿宋" w:cs="仿宋"/>
          <w:sz w:val="32"/>
          <w:szCs w:val="32"/>
        </w:rPr>
      </w:pPr>
      <w:r>
        <w:rPr>
          <w:rFonts w:ascii="仿宋" w:eastAsia="仿宋" w:hAnsi="仿宋" w:cs="仿宋" w:hint="eastAsia"/>
          <w:sz w:val="32"/>
          <w:szCs w:val="32"/>
        </w:rPr>
        <w:t xml:space="preserve">   </w:t>
      </w:r>
    </w:p>
    <w:p w:rsidR="00032BCB" w:rsidRDefault="006C522A">
      <w:pPr>
        <w:jc w:val="center"/>
        <w:sectPr w:rsidR="00032BCB">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p>
    <w:p w:rsidR="00032BCB" w:rsidRDefault="00032BCB"/>
    <w:sectPr w:rsidR="00032B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D9E20E"/>
    <w:multiLevelType w:val="singleLevel"/>
    <w:tmpl w:val="A0D9E20E"/>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68254"/>
    <w:multiLevelType w:val="singleLevel"/>
    <w:tmpl w:val="2ED68254"/>
    <w:lvl w:ilvl="0">
      <w:start w:val="1"/>
      <w:numFmt w:val="chineseCounting"/>
      <w:suff w:val="nothing"/>
      <w:lvlText w:val="（%1）"/>
      <w:lvlJc w:val="left"/>
      <w:pPr>
        <w:ind w:left="630" w:firstLine="0"/>
      </w:pPr>
      <w:rPr>
        <w:rFonts w:hint="eastAsia"/>
      </w:rPr>
    </w:lvl>
  </w:abstractNum>
  <w:abstractNum w:abstractNumId="3">
    <w:nsid w:val="33A4124B"/>
    <w:multiLevelType w:val="singleLevel"/>
    <w:tmpl w:val="33A4124B"/>
    <w:lvl w:ilvl="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A19E5"/>
    <w:rsid w:val="00032BCB"/>
    <w:rsid w:val="000A6608"/>
    <w:rsid w:val="006C522A"/>
    <w:rsid w:val="007B3585"/>
    <w:rsid w:val="00D94689"/>
    <w:rsid w:val="165A19E5"/>
    <w:rsid w:val="1E5430F2"/>
    <w:rsid w:val="524D3992"/>
    <w:rsid w:val="7FE2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E672DF-775A-4387-895B-164B1A85F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春天</dc:creator>
  <cp:lastModifiedBy>cz</cp:lastModifiedBy>
  <cp:revision>5</cp:revision>
  <cp:lastPrinted>2021-08-24T10:09:00Z</cp:lastPrinted>
  <dcterms:created xsi:type="dcterms:W3CDTF">2021-08-24T10:03:00Z</dcterms:created>
  <dcterms:modified xsi:type="dcterms:W3CDTF">2021-08-26T02:44:00Z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