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EC4AB">
      <w:pPr>
        <w:jc w:val="center"/>
        <w:rPr>
          <w:rFonts w:ascii="黑体" w:hAnsi="黑体" w:eastAsia="黑体"/>
          <w:sz w:val="36"/>
          <w:szCs w:val="36"/>
        </w:rPr>
      </w:pPr>
      <w:r>
        <w:rPr>
          <w:rFonts w:hint="eastAsia" w:ascii="黑体" w:hAnsi="黑体" w:eastAsia="黑体"/>
          <w:sz w:val="36"/>
          <w:szCs w:val="36"/>
        </w:rPr>
        <w:t>大同市浑源县裴村乡人民政府</w:t>
      </w:r>
    </w:p>
    <w:p w14:paraId="79494247">
      <w:pPr>
        <w:jc w:val="center"/>
        <w:rPr>
          <w:rFonts w:ascii="黑体" w:hAnsi="黑体" w:eastAsia="黑体"/>
          <w:sz w:val="36"/>
          <w:szCs w:val="36"/>
        </w:rPr>
      </w:pPr>
      <w:r>
        <w:rPr>
          <w:rFonts w:hint="eastAsia" w:ascii="黑体" w:hAnsi="黑体" w:eastAsia="黑体"/>
          <w:sz w:val="36"/>
          <w:szCs w:val="36"/>
        </w:rPr>
        <w:t>2020年度部门决算公开说明</w:t>
      </w:r>
    </w:p>
    <w:p w14:paraId="13BBCF6F">
      <w:pPr>
        <w:rPr>
          <w:rFonts w:ascii="仿宋" w:hAnsi="仿宋" w:eastAsia="仿宋" w:cs="仿宋"/>
          <w:b/>
          <w:kern w:val="0"/>
          <w:sz w:val="32"/>
          <w:szCs w:val="32"/>
        </w:rPr>
      </w:pPr>
      <w:r>
        <w:rPr>
          <w:rFonts w:hint="eastAsia" w:ascii="仿宋" w:hAnsi="仿宋" w:eastAsia="仿宋" w:cs="仿宋"/>
          <w:b/>
          <w:kern w:val="0"/>
          <w:sz w:val="32"/>
          <w:szCs w:val="32"/>
        </w:rPr>
        <w:t>目录</w:t>
      </w:r>
    </w:p>
    <w:p w14:paraId="5235C07B">
      <w:pPr>
        <w:rPr>
          <w:rFonts w:ascii="仿宋" w:hAnsi="仿宋" w:eastAsia="仿宋" w:cs="仿宋"/>
          <w:b/>
          <w:kern w:val="0"/>
          <w:sz w:val="32"/>
          <w:szCs w:val="32"/>
        </w:rPr>
      </w:pPr>
      <w:r>
        <w:rPr>
          <w:rFonts w:hint="eastAsia" w:ascii="仿宋" w:hAnsi="仿宋" w:eastAsia="仿宋" w:cs="仿宋"/>
          <w:b/>
          <w:kern w:val="0"/>
          <w:sz w:val="32"/>
          <w:szCs w:val="32"/>
        </w:rPr>
        <w:t>第一部分 部门及单位概况</w:t>
      </w:r>
    </w:p>
    <w:p w14:paraId="45A9F56F">
      <w:pPr>
        <w:rPr>
          <w:rFonts w:ascii="仿宋" w:hAnsi="仿宋" w:eastAsia="仿宋" w:cs="仿宋"/>
          <w:kern w:val="0"/>
          <w:sz w:val="32"/>
          <w:szCs w:val="32"/>
        </w:rPr>
      </w:pPr>
      <w:r>
        <w:rPr>
          <w:rFonts w:hint="eastAsia" w:ascii="仿宋" w:hAnsi="仿宋" w:eastAsia="仿宋" w:cs="仿宋"/>
          <w:kern w:val="0"/>
          <w:sz w:val="32"/>
          <w:szCs w:val="32"/>
        </w:rPr>
        <w:t>一、部门职责</w:t>
      </w:r>
    </w:p>
    <w:p w14:paraId="725C37FA">
      <w:pPr>
        <w:rPr>
          <w:rFonts w:ascii="仿宋" w:hAnsi="仿宋" w:eastAsia="仿宋" w:cs="仿宋"/>
          <w:kern w:val="0"/>
          <w:sz w:val="32"/>
          <w:szCs w:val="32"/>
        </w:rPr>
      </w:pPr>
      <w:r>
        <w:rPr>
          <w:rFonts w:hint="eastAsia" w:ascii="仿宋" w:hAnsi="仿宋" w:eastAsia="仿宋" w:cs="仿宋"/>
          <w:kern w:val="0"/>
          <w:sz w:val="32"/>
          <w:szCs w:val="32"/>
        </w:rPr>
        <w:t>二、机构设置</w:t>
      </w:r>
    </w:p>
    <w:p w14:paraId="1000F35B">
      <w:pPr>
        <w:rPr>
          <w:rFonts w:ascii="仿宋" w:hAnsi="仿宋" w:eastAsia="仿宋" w:cs="仿宋"/>
          <w:b/>
          <w:kern w:val="0"/>
          <w:sz w:val="32"/>
          <w:szCs w:val="32"/>
        </w:rPr>
      </w:pPr>
      <w:r>
        <w:rPr>
          <w:rFonts w:hint="eastAsia" w:ascii="仿宋" w:hAnsi="仿宋" w:eastAsia="仿宋" w:cs="仿宋"/>
          <w:b/>
          <w:kern w:val="0"/>
          <w:sz w:val="32"/>
          <w:szCs w:val="32"/>
        </w:rPr>
        <w:t>第二部分 2020年度部门决算公开报表</w:t>
      </w:r>
    </w:p>
    <w:p w14:paraId="66919930">
      <w:pPr>
        <w:rPr>
          <w:rFonts w:ascii="仿宋" w:hAnsi="仿宋" w:eastAsia="仿宋" w:cs="仿宋"/>
          <w:kern w:val="0"/>
          <w:sz w:val="32"/>
          <w:szCs w:val="32"/>
        </w:rPr>
      </w:pPr>
      <w:r>
        <w:rPr>
          <w:rFonts w:hint="eastAsia" w:ascii="仿宋" w:hAnsi="仿宋" w:eastAsia="仿宋" w:cs="仿宋"/>
          <w:kern w:val="0"/>
          <w:sz w:val="32"/>
          <w:szCs w:val="32"/>
        </w:rPr>
        <w:t>表一：GK01 收入支出决算总表(公开01表)</w:t>
      </w:r>
    </w:p>
    <w:p w14:paraId="18BCEAE4">
      <w:pPr>
        <w:rPr>
          <w:rFonts w:ascii="仿宋" w:hAnsi="仿宋" w:eastAsia="仿宋" w:cs="仿宋"/>
          <w:kern w:val="0"/>
          <w:sz w:val="32"/>
          <w:szCs w:val="32"/>
        </w:rPr>
      </w:pPr>
      <w:r>
        <w:rPr>
          <w:rFonts w:hint="eastAsia" w:ascii="仿宋" w:hAnsi="仿宋" w:eastAsia="仿宋" w:cs="仿宋"/>
          <w:kern w:val="0"/>
          <w:sz w:val="32"/>
          <w:szCs w:val="32"/>
        </w:rPr>
        <w:t>表二：GK02 收入决算表(公开02表)</w:t>
      </w:r>
    </w:p>
    <w:p w14:paraId="756E06D1">
      <w:pPr>
        <w:rPr>
          <w:rFonts w:ascii="仿宋" w:hAnsi="仿宋" w:eastAsia="仿宋" w:cs="仿宋"/>
          <w:kern w:val="0"/>
          <w:sz w:val="32"/>
          <w:szCs w:val="32"/>
        </w:rPr>
      </w:pPr>
      <w:r>
        <w:rPr>
          <w:rFonts w:hint="eastAsia" w:ascii="仿宋" w:hAnsi="仿宋" w:eastAsia="仿宋" w:cs="仿宋"/>
          <w:kern w:val="0"/>
          <w:sz w:val="32"/>
          <w:szCs w:val="32"/>
        </w:rPr>
        <w:t>表三：GK03 支出决算表(公开03表)</w:t>
      </w:r>
    </w:p>
    <w:p w14:paraId="1ADB9C10">
      <w:pPr>
        <w:rPr>
          <w:rFonts w:ascii="仿宋" w:hAnsi="仿宋" w:eastAsia="仿宋" w:cs="仿宋"/>
          <w:kern w:val="0"/>
          <w:sz w:val="32"/>
          <w:szCs w:val="32"/>
        </w:rPr>
      </w:pPr>
      <w:r>
        <w:rPr>
          <w:rFonts w:hint="eastAsia" w:ascii="仿宋" w:hAnsi="仿宋" w:eastAsia="仿宋" w:cs="仿宋"/>
          <w:kern w:val="0"/>
          <w:sz w:val="32"/>
          <w:szCs w:val="32"/>
        </w:rPr>
        <w:t>表四：GK04 财政拨款收入支出决算总表(公开04表)</w:t>
      </w:r>
    </w:p>
    <w:p w14:paraId="4BE64478">
      <w:pPr>
        <w:rPr>
          <w:rFonts w:ascii="仿宋" w:hAnsi="仿宋" w:eastAsia="仿宋" w:cs="仿宋"/>
          <w:kern w:val="0"/>
          <w:sz w:val="32"/>
          <w:szCs w:val="32"/>
        </w:rPr>
      </w:pPr>
      <w:r>
        <w:rPr>
          <w:rFonts w:hint="eastAsia" w:ascii="仿宋" w:hAnsi="仿宋" w:eastAsia="仿宋" w:cs="仿宋"/>
          <w:kern w:val="0"/>
          <w:sz w:val="32"/>
          <w:szCs w:val="32"/>
        </w:rPr>
        <w:t>表五：GK05 一般公共预算财政拨款支出决算表（一）(公开05表)</w:t>
      </w:r>
    </w:p>
    <w:p w14:paraId="7A00CE03">
      <w:pPr>
        <w:rPr>
          <w:rFonts w:ascii="仿宋" w:hAnsi="仿宋" w:eastAsia="仿宋" w:cs="仿宋"/>
          <w:kern w:val="0"/>
          <w:sz w:val="32"/>
          <w:szCs w:val="32"/>
        </w:rPr>
      </w:pPr>
      <w:r>
        <w:rPr>
          <w:rFonts w:hint="eastAsia" w:ascii="仿宋" w:hAnsi="仿宋" w:eastAsia="仿宋" w:cs="仿宋"/>
          <w:kern w:val="0"/>
          <w:sz w:val="32"/>
          <w:szCs w:val="32"/>
        </w:rPr>
        <w:t>表六：GK06 一般公共预算财政拨款支出决算表（二）(公开06表)</w:t>
      </w:r>
    </w:p>
    <w:p w14:paraId="728A27BF">
      <w:pPr>
        <w:rPr>
          <w:rFonts w:ascii="仿宋" w:hAnsi="仿宋" w:eastAsia="仿宋" w:cs="仿宋"/>
          <w:kern w:val="0"/>
          <w:sz w:val="32"/>
          <w:szCs w:val="32"/>
        </w:rPr>
      </w:pPr>
      <w:r>
        <w:rPr>
          <w:rFonts w:hint="eastAsia" w:ascii="仿宋" w:hAnsi="仿宋" w:eastAsia="仿宋" w:cs="仿宋"/>
          <w:kern w:val="0"/>
          <w:sz w:val="32"/>
          <w:szCs w:val="32"/>
        </w:rPr>
        <w:t>表七：GK07 一般公共预算财政拨款“三公”经费支出决算表(公开07)</w:t>
      </w:r>
    </w:p>
    <w:p w14:paraId="24D853E3">
      <w:pPr>
        <w:rPr>
          <w:rFonts w:ascii="仿宋" w:hAnsi="仿宋" w:eastAsia="仿宋" w:cs="仿宋"/>
          <w:kern w:val="0"/>
          <w:sz w:val="32"/>
          <w:szCs w:val="32"/>
        </w:rPr>
      </w:pPr>
      <w:r>
        <w:rPr>
          <w:rFonts w:hint="eastAsia" w:ascii="仿宋" w:hAnsi="仿宋" w:eastAsia="仿宋" w:cs="仿宋"/>
          <w:kern w:val="0"/>
          <w:sz w:val="32"/>
          <w:szCs w:val="32"/>
        </w:rPr>
        <w:t>表八：GK08 政府性基金预算财政拨款收入支出决算表(公开08表)</w:t>
      </w:r>
    </w:p>
    <w:p w14:paraId="5B7C1138">
      <w:pPr>
        <w:rPr>
          <w:rFonts w:ascii="仿宋" w:hAnsi="仿宋" w:eastAsia="仿宋" w:cs="仿宋"/>
          <w:kern w:val="0"/>
          <w:sz w:val="32"/>
          <w:szCs w:val="32"/>
        </w:rPr>
      </w:pPr>
      <w:r>
        <w:rPr>
          <w:rFonts w:hint="eastAsia" w:ascii="仿宋" w:hAnsi="仿宋" w:eastAsia="仿宋" w:cs="仿宋"/>
          <w:kern w:val="0"/>
          <w:sz w:val="32"/>
          <w:szCs w:val="32"/>
        </w:rPr>
        <w:t>表九：GK09 国有资本经营预算财政拨款支出决算表(公开09表)</w:t>
      </w:r>
    </w:p>
    <w:p w14:paraId="66FEC836">
      <w:pPr>
        <w:rPr>
          <w:rFonts w:ascii="仿宋" w:hAnsi="仿宋" w:eastAsia="仿宋" w:cs="仿宋"/>
          <w:kern w:val="0"/>
          <w:sz w:val="32"/>
          <w:szCs w:val="32"/>
        </w:rPr>
      </w:pPr>
      <w:r>
        <w:rPr>
          <w:rFonts w:hint="eastAsia" w:ascii="仿宋" w:hAnsi="仿宋" w:eastAsia="仿宋" w:cs="仿宋"/>
          <w:kern w:val="0"/>
          <w:sz w:val="32"/>
          <w:szCs w:val="32"/>
        </w:rPr>
        <w:t>表十：GK10 部门决算公开相关信息统计表(公开10表)</w:t>
      </w:r>
    </w:p>
    <w:p w14:paraId="40A175E9">
      <w:pPr>
        <w:rPr>
          <w:rFonts w:ascii="仿宋" w:hAnsi="仿宋" w:eastAsia="仿宋" w:cs="仿宋"/>
          <w:b/>
          <w:kern w:val="0"/>
          <w:sz w:val="32"/>
          <w:szCs w:val="32"/>
        </w:rPr>
      </w:pPr>
      <w:r>
        <w:rPr>
          <w:rFonts w:hint="eastAsia" w:ascii="仿宋" w:hAnsi="仿宋" w:eastAsia="仿宋" w:cs="仿宋"/>
          <w:b/>
          <w:kern w:val="0"/>
          <w:sz w:val="32"/>
          <w:szCs w:val="32"/>
        </w:rPr>
        <w:t>第三部分 2020年度部门决算情况说明</w:t>
      </w:r>
    </w:p>
    <w:p w14:paraId="02FEA938">
      <w:pPr>
        <w:rPr>
          <w:rFonts w:ascii="仿宋" w:hAnsi="仿宋" w:eastAsia="仿宋" w:cs="仿宋"/>
          <w:kern w:val="0"/>
          <w:sz w:val="32"/>
          <w:szCs w:val="32"/>
        </w:rPr>
      </w:pPr>
      <w:r>
        <w:rPr>
          <w:rFonts w:hint="eastAsia" w:ascii="仿宋" w:hAnsi="仿宋" w:eastAsia="仿宋" w:cs="仿宋"/>
          <w:kern w:val="0"/>
          <w:sz w:val="32"/>
          <w:szCs w:val="32"/>
        </w:rPr>
        <w:t>一、决算收入情况</w:t>
      </w:r>
    </w:p>
    <w:p w14:paraId="316E9723">
      <w:pPr>
        <w:rPr>
          <w:rFonts w:ascii="仿宋" w:hAnsi="仿宋" w:eastAsia="仿宋" w:cs="仿宋"/>
          <w:kern w:val="0"/>
          <w:sz w:val="32"/>
          <w:szCs w:val="32"/>
        </w:rPr>
      </w:pPr>
      <w:r>
        <w:rPr>
          <w:rFonts w:hint="eastAsia" w:ascii="仿宋" w:hAnsi="仿宋" w:eastAsia="仿宋" w:cs="仿宋"/>
          <w:kern w:val="0"/>
          <w:sz w:val="32"/>
          <w:szCs w:val="32"/>
        </w:rPr>
        <w:t>二、决算支出情况</w:t>
      </w:r>
    </w:p>
    <w:p w14:paraId="05C783CD">
      <w:pPr>
        <w:rPr>
          <w:rFonts w:ascii="仿宋" w:hAnsi="仿宋" w:eastAsia="仿宋" w:cs="仿宋"/>
          <w:kern w:val="0"/>
          <w:sz w:val="32"/>
          <w:szCs w:val="32"/>
        </w:rPr>
      </w:pPr>
      <w:r>
        <w:rPr>
          <w:rFonts w:hint="eastAsia" w:ascii="仿宋" w:hAnsi="仿宋" w:eastAsia="仿宋" w:cs="仿宋"/>
          <w:kern w:val="0"/>
          <w:sz w:val="32"/>
          <w:szCs w:val="32"/>
        </w:rPr>
        <w:t>三、“三公”经费情况</w:t>
      </w:r>
    </w:p>
    <w:p w14:paraId="2794CDE1">
      <w:pPr>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0C3AB46D">
      <w:pPr>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767EDBDB">
      <w:pPr>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35134E32">
      <w:pPr>
        <w:rPr>
          <w:rFonts w:ascii="仿宋" w:hAnsi="仿宋" w:eastAsia="仿宋" w:cs="仿宋"/>
          <w:kern w:val="0"/>
          <w:sz w:val="32"/>
          <w:szCs w:val="32"/>
        </w:rPr>
      </w:pPr>
      <w:r>
        <w:rPr>
          <w:rFonts w:hint="eastAsia" w:ascii="仿宋" w:hAnsi="仿宋" w:eastAsia="仿宋" w:cs="仿宋"/>
          <w:kern w:val="0"/>
          <w:sz w:val="32"/>
          <w:szCs w:val="32"/>
        </w:rPr>
        <w:t>七、绩效情况说明</w:t>
      </w:r>
    </w:p>
    <w:p w14:paraId="4336EBF1">
      <w:pPr>
        <w:rPr>
          <w:rFonts w:ascii="仿宋" w:hAnsi="仿宋" w:eastAsia="仿宋" w:cs="仿宋"/>
          <w:b/>
          <w:kern w:val="0"/>
          <w:sz w:val="32"/>
          <w:szCs w:val="32"/>
        </w:rPr>
      </w:pPr>
      <w:r>
        <w:rPr>
          <w:rFonts w:hint="eastAsia" w:ascii="仿宋" w:hAnsi="仿宋" w:eastAsia="仿宋" w:cs="仿宋"/>
          <w:b/>
          <w:kern w:val="0"/>
          <w:sz w:val="32"/>
          <w:szCs w:val="32"/>
        </w:rPr>
        <w:t>第四部分 部门名词解释</w:t>
      </w:r>
      <w:bookmarkStart w:id="0" w:name="_GoBack"/>
      <w:bookmarkEnd w:id="0"/>
    </w:p>
    <w:p w14:paraId="06D4CFD6">
      <w:pPr>
        <w:rPr>
          <w:rFonts w:ascii="仿宋" w:hAnsi="仿宋" w:eastAsia="仿宋" w:cs="仿宋"/>
          <w:b/>
          <w:kern w:val="0"/>
          <w:sz w:val="32"/>
          <w:szCs w:val="32"/>
        </w:rPr>
      </w:pPr>
    </w:p>
    <w:p w14:paraId="466322A9">
      <w:pPr>
        <w:rPr>
          <w:rFonts w:ascii="仿宋" w:hAnsi="仿宋" w:eastAsia="仿宋" w:cs="仿宋"/>
          <w:b/>
          <w:kern w:val="0"/>
          <w:sz w:val="32"/>
          <w:szCs w:val="32"/>
        </w:rPr>
      </w:pPr>
      <w:r>
        <w:rPr>
          <w:rFonts w:hint="eastAsia" w:ascii="仿宋" w:hAnsi="仿宋" w:eastAsia="仿宋" w:cs="仿宋"/>
          <w:b/>
          <w:kern w:val="0"/>
          <w:sz w:val="32"/>
          <w:szCs w:val="32"/>
        </w:rPr>
        <w:t>内容</w:t>
      </w:r>
    </w:p>
    <w:p w14:paraId="30CAD4CE">
      <w:pPr>
        <w:rPr>
          <w:rFonts w:ascii="仿宋" w:hAnsi="仿宋" w:eastAsia="仿宋" w:cs="仿宋"/>
          <w:kern w:val="0"/>
          <w:sz w:val="32"/>
          <w:szCs w:val="32"/>
        </w:rPr>
      </w:pPr>
      <w:r>
        <w:rPr>
          <w:rFonts w:hint="eastAsia" w:ascii="仿宋" w:hAnsi="仿宋" w:eastAsia="仿宋" w:cs="仿宋"/>
          <w:kern w:val="0"/>
          <w:sz w:val="32"/>
          <w:szCs w:val="32"/>
        </w:rPr>
        <w:t>第一部分：大同市浑源县裴村乡人民政府概况</w:t>
      </w:r>
    </w:p>
    <w:p w14:paraId="3A377B12">
      <w:pPr>
        <w:spacing w:line="360" w:lineRule="auto"/>
        <w:ind w:left="420" w:leftChars="200"/>
        <w:rPr>
          <w:rFonts w:ascii="仿宋" w:hAnsi="仿宋" w:eastAsia="仿宋" w:cs="仿宋"/>
          <w:b/>
          <w:bCs/>
          <w:sz w:val="32"/>
          <w:szCs w:val="32"/>
        </w:rPr>
      </w:pPr>
      <w:r>
        <w:rPr>
          <w:rFonts w:hint="eastAsia" w:ascii="仿宋" w:hAnsi="仿宋" w:eastAsia="仿宋" w:cs="仿宋"/>
          <w:b/>
          <w:bCs/>
          <w:sz w:val="32"/>
          <w:szCs w:val="32"/>
        </w:rPr>
        <w:t>一、部门职责</w:t>
      </w:r>
    </w:p>
    <w:p w14:paraId="07023BC0">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6D1E5D7E">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本单位主要职能：执行本级人民代表大会的决议和上级国家行政机关的决议和命令，并发布决议和命令；执行本行政区域内的经济和社会发展计划，预算、管理本行政区域的经济、教育、科学、文化、卫生、体育事业和财政、民政、公安、司法、行政、计划生育等工作；保户社会主义的全民所有的财产和劳动群众集体所有财产。</w:t>
      </w:r>
    </w:p>
    <w:p w14:paraId="3B8A5189">
      <w:pPr>
        <w:spacing w:line="360" w:lineRule="auto"/>
        <w:ind w:left="420" w:leftChars="200"/>
        <w:rPr>
          <w:rFonts w:ascii="仿宋" w:hAnsi="仿宋" w:eastAsia="仿宋" w:cs="仿宋"/>
          <w:b/>
          <w:bCs/>
          <w:sz w:val="32"/>
          <w:szCs w:val="32"/>
        </w:rPr>
      </w:pPr>
      <w:r>
        <w:rPr>
          <w:rFonts w:hint="eastAsia" w:ascii="仿宋" w:hAnsi="仿宋" w:eastAsia="仿宋" w:cs="仿宋"/>
          <w:b/>
          <w:bCs/>
          <w:sz w:val="32"/>
          <w:szCs w:val="32"/>
        </w:rPr>
        <w:t>二、机构设置</w:t>
      </w:r>
    </w:p>
    <w:p w14:paraId="657D9CFD">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（一）党政机构设置</w:t>
      </w:r>
    </w:p>
    <w:p w14:paraId="45EEBA22">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1、党政综合办公室</w:t>
      </w:r>
    </w:p>
    <w:p w14:paraId="36363981">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负责乡党委、政府机关日常工作；负责人大、政协、武装部具体事务；负责协调纪检督察、组织、宣传、统战、机构编制、巡查、老干部和工会、团委、妇联等方面工作；负责财务、人事、保密、档案、固定资产管理和后勤服务。完成乡党委、政府和上级有关部门交办的其他任务。</w:t>
      </w:r>
    </w:p>
    <w:p w14:paraId="309F9C25">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2、经济发展办公室</w:t>
      </w:r>
    </w:p>
    <w:p w14:paraId="7C3221EC">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14:paraId="7324C1AE">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3、社会事务办公室</w:t>
      </w:r>
    </w:p>
    <w:p w14:paraId="62837C64">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14:paraId="644D56F3">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4、规划建设办公室</w:t>
      </w:r>
    </w:p>
    <w:p w14:paraId="7167F034">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14:paraId="0DFCF36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5、综合行政执法办公室</w:t>
      </w:r>
    </w:p>
    <w:p w14:paraId="2226AE4C">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14:paraId="2E4E3CA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（二）事业单位设置</w:t>
      </w:r>
    </w:p>
    <w:p w14:paraId="303BE663">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1、党群服务中心</w:t>
      </w:r>
    </w:p>
    <w:p w14:paraId="5AACB208">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负责发挥服务党组织和党员群众的功能，开展宣传党的方针政策和理论知识、党务</w:t>
      </w:r>
      <w:r>
        <w:rPr>
          <w:rFonts w:hint="eastAsia" w:ascii="仿宋" w:hAnsi="仿宋" w:eastAsia="仿宋" w:cs="仿宋"/>
          <w:sz w:val="32"/>
          <w:szCs w:val="32"/>
          <w:lang w:eastAsia="zh-CN"/>
        </w:rPr>
        <w:t>政策咨询</w:t>
      </w:r>
      <w:r>
        <w:rPr>
          <w:rFonts w:hint="eastAsia" w:ascii="仿宋" w:hAnsi="仿宋" w:eastAsia="仿宋" w:cs="仿宋"/>
          <w:sz w:val="32"/>
          <w:szCs w:val="32"/>
        </w:rPr>
        <w:t>等活动。</w:t>
      </w:r>
    </w:p>
    <w:p w14:paraId="1C053974">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2、综合便民服务中心</w:t>
      </w:r>
    </w:p>
    <w:p w14:paraId="7A16C9E0">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负责制定乡综合便民服务中心的管理制度并组织实施；结合实际设置基层来信来访、乡村建设、农业农村服务。</w:t>
      </w:r>
    </w:p>
    <w:p w14:paraId="32A1FE4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3、退役军人服务保障工作站</w:t>
      </w:r>
    </w:p>
    <w:p w14:paraId="3195D2C9">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负责宣传贯彻有关退役军人法律、法规、政策，负责退役军人信访服务相关工作。</w:t>
      </w:r>
    </w:p>
    <w:p w14:paraId="252F79E7">
      <w:pPr>
        <w:rPr>
          <w:rFonts w:ascii="仿宋" w:hAnsi="仿宋" w:eastAsia="仿宋" w:cs="仿宋"/>
          <w:kern w:val="0"/>
          <w:sz w:val="32"/>
          <w:szCs w:val="32"/>
        </w:rPr>
      </w:pPr>
      <w:r>
        <w:rPr>
          <w:rFonts w:hint="eastAsia" w:ascii="仿宋" w:hAnsi="仿宋" w:eastAsia="仿宋" w:cs="仿宋"/>
          <w:kern w:val="0"/>
          <w:sz w:val="32"/>
          <w:szCs w:val="32"/>
        </w:rPr>
        <w:t>第二部分：2020年度部门决算公开报表</w:t>
      </w:r>
    </w:p>
    <w:p w14:paraId="27F8FA99">
      <w:pPr>
        <w:rPr>
          <w:rFonts w:ascii="仿宋" w:hAnsi="仿宋" w:eastAsia="仿宋" w:cs="仿宋"/>
          <w:kern w:val="0"/>
          <w:sz w:val="32"/>
          <w:szCs w:val="32"/>
        </w:rPr>
      </w:pPr>
      <w:r>
        <w:rPr>
          <w:rFonts w:hint="eastAsia" w:ascii="仿宋" w:hAnsi="仿宋" w:eastAsia="仿宋" w:cs="仿宋"/>
          <w:kern w:val="0"/>
          <w:sz w:val="32"/>
          <w:szCs w:val="32"/>
        </w:rPr>
        <w:t>附件：大同市浑源县裴村乡人民政府2020年度部门决算公开报表.xls</w:t>
      </w:r>
    </w:p>
    <w:p w14:paraId="6CD03B14">
      <w:pPr>
        <w:rPr>
          <w:rFonts w:ascii="仿宋" w:hAnsi="仿宋" w:eastAsia="仿宋" w:cs="仿宋"/>
          <w:kern w:val="0"/>
          <w:sz w:val="32"/>
          <w:szCs w:val="32"/>
        </w:rPr>
      </w:pPr>
      <w:r>
        <w:rPr>
          <w:rFonts w:hint="eastAsia" w:ascii="仿宋" w:hAnsi="仿宋" w:eastAsia="仿宋" w:cs="仿宋"/>
          <w:kern w:val="0"/>
          <w:sz w:val="32"/>
          <w:szCs w:val="32"/>
        </w:rPr>
        <w:t>第三部分：2020年度部门决算情况说明</w:t>
      </w:r>
    </w:p>
    <w:p w14:paraId="2278A5DB">
      <w:pPr>
        <w:pStyle w:val="4"/>
        <w:numPr>
          <w:ilvl w:val="0"/>
          <w:numId w:val="1"/>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决算收入情况</w:t>
      </w:r>
    </w:p>
    <w:p w14:paraId="55B158E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收入为993.38万元，上年度总收入为2302.87万元，增减-56.86 %。其中：一般公共预算财政拨款本年度收入为992.27万元，上年度收入为1046.31万元，增减-5.17 %；政府性基金预算财政拨款本年度收入为0万元，上年度收入为1256.56万元，增减-100 %；事业收入本年度收入为0万元，上年度收入为0万元，增减0 %；其他收入本年度收入为1.12万元，上年度收入为0万元，增减0%。</w:t>
      </w:r>
    </w:p>
    <w:p w14:paraId="3E5D586C">
      <w:pPr>
        <w:pStyle w:val="4"/>
        <w:numPr>
          <w:ilvl w:val="0"/>
          <w:numId w:val="1"/>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决算支出情况</w:t>
      </w:r>
    </w:p>
    <w:p w14:paraId="1FD754F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支出为1005.12万元，上年度总支出为2302.33万元，增减-56.34 %。其中：基本支出本年度支出为452.82万元，上年度支出为409.63万元，增减10.55 %；项目支出本年度支出为552.3万元，上年度支出为1892.71万元，增减-70.82 %。</w:t>
      </w:r>
    </w:p>
    <w:p w14:paraId="470BC42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三、“三公”经费情况</w:t>
      </w:r>
    </w:p>
    <w:p w14:paraId="61FE2F8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三公”经费总支出为1.53万元，上年度支出为2万元，增减-23.53 %；其中：因公出国（境）费本年度支出0万元，上年度支出为0万元，增减0 %；公务用车购置及运行维护费支出为1.53万元，上年度支出为2万元，增减-23.53 %；公务接待费支出为0万元，上年度支出为0万元，增减0 %。</w:t>
      </w:r>
    </w:p>
    <w:p w14:paraId="7DDC960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71F4E99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本单位本年度机关运行经费总支出为24.69万元，上年度支出为19.21万元，增减28.5 %；主要为日常办公费、水电、差旅、印刷、委托业务费等费用。</w:t>
      </w:r>
    </w:p>
    <w:p w14:paraId="0C47FCF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4F7CB7F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本单位本年度政府采购总价为0万元，其中：货物采购0万元，工程采购0万元，服务采购0万元。</w:t>
      </w:r>
    </w:p>
    <w:p w14:paraId="74750AB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5B59722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14:paraId="2E62840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我单位产权房屋面积为0平方米，价值0万元。</w:t>
      </w:r>
    </w:p>
    <w:p w14:paraId="3859ECD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14:paraId="23137AB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单位账面车辆为0辆，价值0万元。</w:t>
      </w:r>
    </w:p>
    <w:p w14:paraId="7E3EA47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14:paraId="603F29C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2020年度，本单位实行绩效目标管理的项目18个。</w:t>
      </w:r>
    </w:p>
    <w:p w14:paraId="1F5B46C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第四部分 部门名词解释</w:t>
      </w:r>
    </w:p>
    <w:p w14:paraId="4142268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一、财政拨款：财政拨款包括一般公共预算财政拨款、政府性基金预算财政拨款和国有资本经营预算财政拨款。</w:t>
      </w:r>
    </w:p>
    <w:p w14:paraId="044DFF9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3B99064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3A4E61C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18D7839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二、收入</w:t>
      </w:r>
    </w:p>
    <w:p w14:paraId="74A39BA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1、财政拨款收入：单位本年度从本级财政部门取得的财政拨款，包括一般公共预算财政拨款、政府性基金预算财政拨款和国有资本经营预算财政拨款。</w:t>
      </w:r>
    </w:p>
    <w:p w14:paraId="46E559A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一级预算单位收到的应拨给下级单位使用的款项，年终决算时尚未拨出的，在编报时列为本单位财政拨款。</w:t>
      </w:r>
    </w:p>
    <w:p w14:paraId="300284F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2、上级补助收入：填列事业单位从主管部门和上级单位取得的非财政补助收入。</w:t>
      </w:r>
    </w:p>
    <w:p w14:paraId="71BD5A2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3、事业收入：填列事业单位开展专业业务活动及其辅助活动取得的收入；事业单位收到的财政专户实际核拨的教育收费等资金在此反映。</w:t>
      </w:r>
    </w:p>
    <w:p w14:paraId="0242DE4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4、经营收入：填列事业单位在专业业务活动及其辅助活动之外开展非独立核算经营活动取得的收入。</w:t>
      </w:r>
    </w:p>
    <w:p w14:paraId="7FCD4A8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5、附属单位上缴收入：填列事业单位附独立核算单位按照有关规定上缴的收入。</w:t>
      </w:r>
    </w:p>
    <w:p w14:paraId="2CC702F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2965CDD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事业单位开展专业业务活动及辅助活动并以合同形式从本级财政部门以外的同级单位取得的经费，不在本项反映，应填列在“事业收入”栏。</w:t>
      </w:r>
    </w:p>
    <w:p w14:paraId="5F9D5B2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三、支出</w:t>
      </w:r>
    </w:p>
    <w:p w14:paraId="797C952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1、基本支出：填列单位为保障机构正常运转、完成日常工作任务而发生的各项支出。</w:t>
      </w:r>
    </w:p>
    <w:p w14:paraId="4DB573F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2、项目支出：填列单位为完成特定的行政工作任务或事业发展目标，在基本支出之外发生的各项支出。</w:t>
      </w:r>
    </w:p>
    <w:p w14:paraId="7DC2588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3、上缴上级支出：填列事业单位按照财政部门和主管部门的规定上缴上级单位的支出。</w:t>
      </w:r>
    </w:p>
    <w:p w14:paraId="3342D5F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4、经营支出：填列事业单位在专业活动及辅助活动之外开展非独立核算经营活动发生的支出。</w:t>
      </w:r>
    </w:p>
    <w:p w14:paraId="06F47D7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5、附属单位补助支出：填列事业单位用财政补助收入之外的收入对附属单位补助发生的支出。</w:t>
      </w:r>
    </w:p>
    <w:p w14:paraId="45C1729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6、主管部门在汇总决算时，应使用调整表对“上缴上级支出”“对附属单位补助支出”与收入表中“附属单位上缴收入”“上级补助收入”进行冲抵。</w:t>
      </w:r>
    </w:p>
    <w:p w14:paraId="02F41FE7">
      <w:pPr>
        <w:ind w:firstLine="640" w:firstLineChars="200"/>
        <w:rPr>
          <w:rFonts w:ascii="仿宋" w:hAnsi="仿宋" w:eastAsia="仿宋" w:cs="仿宋"/>
          <w:sz w:val="32"/>
          <w:szCs w:val="32"/>
        </w:rPr>
      </w:pPr>
      <w:r>
        <w:rPr>
          <w:rFonts w:hint="eastAsia" w:ascii="仿宋" w:hAnsi="仿宋" w:eastAsia="仿宋" w:cs="仿宋"/>
          <w:kern w:val="0"/>
          <w:sz w:val="32"/>
          <w:szCs w:val="32"/>
        </w:rPr>
        <w:t>四、“三公”经费：一般公共预算安排的因公出国（境）费、公务用车购置及运行费和公务接待费。</w:t>
      </w:r>
    </w:p>
    <w:p w14:paraId="2350A9BE">
      <w:pPr>
        <w:wordWrap w:val="0"/>
        <w:jc w:val="right"/>
        <w:rPr>
          <w:rFonts w:ascii="仿宋" w:hAnsi="仿宋" w:eastAsia="仿宋" w:cs="仿宋"/>
          <w:sz w:val="32"/>
          <w:szCs w:val="32"/>
        </w:rPr>
      </w:pPr>
      <w:r>
        <w:rPr>
          <w:rFonts w:hint="eastAsia" w:ascii="仿宋" w:hAnsi="仿宋" w:eastAsia="仿宋" w:cs="仿宋"/>
          <w:sz w:val="32"/>
          <w:szCs w:val="32"/>
        </w:rPr>
        <w:t xml:space="preserve">                                                         202</w:t>
      </w:r>
      <w:r>
        <w:rPr>
          <w:rFonts w:ascii="仿宋" w:hAnsi="仿宋" w:eastAsia="仿宋" w:cs="仿宋"/>
          <w:sz w:val="32"/>
          <w:szCs w:val="32"/>
        </w:rPr>
        <w:t>1</w:t>
      </w:r>
      <w:r>
        <w:rPr>
          <w:rFonts w:hint="eastAsia" w:ascii="仿宋" w:hAnsi="仿宋" w:eastAsia="仿宋" w:cs="仿宋"/>
          <w:sz w:val="32"/>
          <w:szCs w:val="32"/>
        </w:rPr>
        <w:t xml:space="preserve">年8月9日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7C1F76"/>
    <w:rsid w:val="000912BB"/>
    <w:rsid w:val="001E2238"/>
    <w:rsid w:val="00944978"/>
    <w:rsid w:val="00BA7AA7"/>
    <w:rsid w:val="00CF38C6"/>
    <w:rsid w:val="00EB2133"/>
    <w:rsid w:val="18374830"/>
    <w:rsid w:val="2D796D0D"/>
    <w:rsid w:val="48547881"/>
    <w:rsid w:val="4C7C1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3642</Words>
  <Characters>3833</Characters>
  <Lines>28</Lines>
  <Paragraphs>8</Paragraphs>
  <TotalTime>1</TotalTime>
  <ScaleCrop>false</ScaleCrop>
  <LinksUpToDate>false</LinksUpToDate>
  <CharactersWithSpaces>3922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2021-08-24T02:17:00Z</dcterms:created>
  <dc:creator>Administrator</dc:creator>
  <cp:lastModifiedBy>刘萍</cp:lastModifiedBy>
  <dcterms:modified xsi:type="dcterms:W3CDTF">2025-05-26T09:16:28Z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598C588AE9F947AE9C0EBDEAEEABD897</vt:lpwstr>
  </property>
  <property fmtid="{D5CDD505-2E9C-101B-9397-08002B2CF9AE}" pid="4" name="KSOTemplateDocerSaveRecord">
    <vt:lpwstr>eyJoZGlkIjoiODM2MGQ5OTA4MzQzODIzZGFjMzUzMjljNzgyYTQ3NTMiLCJ1c2VySWQiOiIzNjcyOTAzODIifQ==</vt:lpwstr>
  </property>
</Properties>
</file>