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254B3">
      <w:pPr>
        <w:jc w:val="center"/>
        <w:rPr>
          <w:rFonts w:ascii="黑体" w:hAnsi="黑体" w:eastAsia="黑体"/>
          <w:sz w:val="36"/>
          <w:szCs w:val="36"/>
        </w:rPr>
      </w:pPr>
      <w:r>
        <w:rPr>
          <w:rFonts w:hint="eastAsia" w:ascii="黑体" w:hAnsi="黑体" w:eastAsia="黑体"/>
          <w:sz w:val="36"/>
          <w:szCs w:val="36"/>
        </w:rPr>
        <w:t>大同市浑源县西坊城镇人民政府</w:t>
      </w:r>
    </w:p>
    <w:p w14:paraId="76154B9B">
      <w:pPr>
        <w:jc w:val="center"/>
        <w:rPr>
          <w:rFonts w:ascii="黑体" w:hAnsi="黑体" w:eastAsia="黑体"/>
          <w:sz w:val="36"/>
          <w:szCs w:val="36"/>
        </w:rPr>
      </w:pPr>
      <w:r>
        <w:rPr>
          <w:rFonts w:hint="eastAsia" w:ascii="黑体" w:hAnsi="黑体" w:eastAsia="黑体"/>
          <w:sz w:val="36"/>
          <w:szCs w:val="36"/>
        </w:rPr>
        <w:t>2020年度部门决算公开说明</w:t>
      </w:r>
    </w:p>
    <w:p w14:paraId="461DD629">
      <w:pPr>
        <w:rPr>
          <w:rFonts w:ascii="仿宋" w:hAnsi="仿宋" w:eastAsia="仿宋"/>
          <w:b/>
          <w:color w:val="333333"/>
          <w:kern w:val="0"/>
          <w:sz w:val="32"/>
          <w:szCs w:val="32"/>
        </w:rPr>
      </w:pPr>
      <w:r>
        <w:rPr>
          <w:rFonts w:hint="eastAsia" w:ascii="仿宋" w:hAnsi="仿宋" w:eastAsia="仿宋"/>
          <w:b/>
          <w:color w:val="333333"/>
          <w:kern w:val="0"/>
          <w:sz w:val="32"/>
          <w:szCs w:val="32"/>
        </w:rPr>
        <w:t>目录</w:t>
      </w:r>
    </w:p>
    <w:p w14:paraId="57E97066">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6EE13537">
      <w:pPr>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14:paraId="650E3F28">
      <w:pPr>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271D70D9">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76B4792E">
      <w:pPr>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14:paraId="0E7E6115">
      <w:pPr>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14:paraId="53F03F68">
      <w:pPr>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14:paraId="027F7603">
      <w:pPr>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14:paraId="34874C8F">
      <w:pPr>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14:paraId="28E56CEC">
      <w:pPr>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14:paraId="55FDE0E1">
      <w:pPr>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14:paraId="2CDC549A">
      <w:pPr>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14:paraId="2D2020D2">
      <w:pPr>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14:paraId="48340788">
      <w:pPr>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14:paraId="56CCFD26">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7631D884">
      <w:pPr>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6E1C90AD">
      <w:pPr>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14:paraId="0A859136">
      <w:pPr>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711EB3ED">
      <w:pPr>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6B998C2D">
      <w:pPr>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4003F997">
      <w:pPr>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6E9F1822">
      <w:pPr>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60F59FB9">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504B04CE">
      <w:pPr>
        <w:rPr>
          <w:rFonts w:ascii="仿宋" w:hAnsi="仿宋" w:eastAsia="仿宋"/>
          <w:b/>
          <w:color w:val="333333"/>
          <w:kern w:val="0"/>
          <w:sz w:val="32"/>
          <w:szCs w:val="32"/>
        </w:rPr>
      </w:pPr>
    </w:p>
    <w:p w14:paraId="634D2280">
      <w:pPr>
        <w:rPr>
          <w:rFonts w:ascii="仿宋" w:hAnsi="仿宋" w:eastAsia="仿宋"/>
          <w:b/>
          <w:color w:val="333333"/>
          <w:kern w:val="0"/>
          <w:sz w:val="32"/>
          <w:szCs w:val="32"/>
        </w:rPr>
      </w:pPr>
      <w:r>
        <w:rPr>
          <w:rFonts w:hint="eastAsia" w:ascii="仿宋" w:hAnsi="仿宋" w:eastAsia="仿宋"/>
          <w:b/>
          <w:color w:val="333333"/>
          <w:kern w:val="0"/>
          <w:sz w:val="32"/>
          <w:szCs w:val="32"/>
        </w:rPr>
        <w:t>内</w:t>
      </w:r>
      <w:r>
        <w:rPr>
          <w:rFonts w:ascii="仿宋" w:hAnsi="仿宋" w:eastAsia="仿宋"/>
          <w:b/>
          <w:color w:val="333333"/>
          <w:kern w:val="0"/>
          <w:sz w:val="32"/>
          <w:szCs w:val="32"/>
        </w:rPr>
        <w:t>容</w:t>
      </w:r>
    </w:p>
    <w:p w14:paraId="1EB5D97E">
      <w:pPr>
        <w:rPr>
          <w:rFonts w:ascii="仿宋" w:hAnsi="仿宋" w:eastAsia="仿宋"/>
          <w:color w:val="333333"/>
          <w:kern w:val="0"/>
          <w:sz w:val="32"/>
          <w:szCs w:val="32"/>
        </w:rPr>
      </w:pPr>
      <w:r>
        <w:rPr>
          <w:rFonts w:hint="eastAsia" w:ascii="仿宋" w:hAnsi="仿宋" w:eastAsia="仿宋"/>
          <w:color w:val="333333"/>
          <w:kern w:val="0"/>
          <w:sz w:val="32"/>
          <w:szCs w:val="32"/>
        </w:rPr>
        <w:t>第一部分：大同市浑源县西坊城镇人民政府概况</w:t>
      </w:r>
    </w:p>
    <w:p w14:paraId="121BA511">
      <w:pPr>
        <w:spacing w:line="360" w:lineRule="auto"/>
        <w:ind w:firstLine="707" w:firstLineChars="220"/>
        <w:rPr>
          <w:rFonts w:ascii="仿宋" w:hAnsi="仿宋" w:eastAsia="仿宋"/>
          <w:b/>
          <w:bCs/>
          <w:sz w:val="32"/>
          <w:szCs w:val="32"/>
        </w:rPr>
      </w:pPr>
      <w:r>
        <w:rPr>
          <w:rFonts w:hint="eastAsia" w:ascii="仿宋" w:hAnsi="仿宋" w:eastAsia="仿宋"/>
          <w:b/>
          <w:bCs/>
          <w:sz w:val="32"/>
          <w:szCs w:val="32"/>
        </w:rPr>
        <w:t>一、本部门（单位）职责</w:t>
      </w:r>
    </w:p>
    <w:p w14:paraId="176EE149">
      <w:pPr>
        <w:spacing w:line="360" w:lineRule="auto"/>
        <w:ind w:firstLine="640" w:firstLineChars="200"/>
        <w:rPr>
          <w:rFonts w:ascii="仿宋" w:hAnsi="仿宋" w:eastAsia="仿宋"/>
          <w:sz w:val="32"/>
          <w:szCs w:val="32"/>
        </w:rPr>
      </w:pPr>
      <w:r>
        <w:rPr>
          <w:rFonts w:hint="eastAsia" w:ascii="仿宋" w:hAnsi="仿宋" w:eastAsia="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299C7427">
      <w:pPr>
        <w:spacing w:line="360" w:lineRule="auto"/>
        <w:ind w:firstLine="640" w:firstLineChars="200"/>
        <w:rPr>
          <w:rFonts w:ascii="仿宋" w:hAnsi="仿宋" w:eastAsia="仿宋"/>
          <w:sz w:val="32"/>
          <w:szCs w:val="32"/>
        </w:rPr>
      </w:pPr>
      <w:r>
        <w:rPr>
          <w:rFonts w:hint="eastAsia" w:ascii="仿宋" w:hAnsi="仿宋" w:eastAsia="仿宋"/>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保户社会主义的全民所有的财产和劳动群众集体所有财产。</w:t>
      </w:r>
    </w:p>
    <w:p w14:paraId="6B8FB5A3">
      <w:pPr>
        <w:spacing w:line="360" w:lineRule="auto"/>
        <w:ind w:firstLine="707" w:firstLineChars="220"/>
        <w:rPr>
          <w:rFonts w:ascii="仿宋" w:hAnsi="仿宋" w:eastAsia="仿宋"/>
          <w:b/>
          <w:bCs/>
          <w:sz w:val="32"/>
          <w:szCs w:val="32"/>
        </w:rPr>
      </w:pPr>
      <w:r>
        <w:rPr>
          <w:rFonts w:hint="eastAsia" w:ascii="仿宋" w:hAnsi="仿宋" w:eastAsia="仿宋"/>
          <w:b/>
          <w:bCs/>
          <w:sz w:val="32"/>
          <w:szCs w:val="32"/>
        </w:rPr>
        <w:t>二、机构设置情况</w:t>
      </w:r>
    </w:p>
    <w:p w14:paraId="32DDC2F0">
      <w:pPr>
        <w:spacing w:line="360" w:lineRule="auto"/>
        <w:ind w:firstLine="640" w:firstLineChars="200"/>
        <w:rPr>
          <w:rFonts w:ascii="仿宋" w:hAnsi="仿宋" w:eastAsia="仿宋"/>
          <w:sz w:val="32"/>
          <w:szCs w:val="32"/>
        </w:rPr>
      </w:pPr>
      <w:r>
        <w:rPr>
          <w:rFonts w:hint="eastAsia" w:ascii="仿宋" w:hAnsi="仿宋" w:eastAsia="仿宋"/>
          <w:sz w:val="32"/>
          <w:szCs w:val="32"/>
        </w:rPr>
        <w:t>（一）党政机构设置</w:t>
      </w:r>
    </w:p>
    <w:p w14:paraId="0E088AA3">
      <w:pPr>
        <w:spacing w:line="360" w:lineRule="auto"/>
        <w:ind w:firstLine="640" w:firstLineChars="200"/>
        <w:rPr>
          <w:rFonts w:ascii="仿宋" w:hAnsi="仿宋" w:eastAsia="仿宋"/>
          <w:sz w:val="32"/>
          <w:szCs w:val="32"/>
        </w:rPr>
      </w:pPr>
      <w:r>
        <w:rPr>
          <w:rFonts w:hint="eastAsia" w:ascii="仿宋" w:hAnsi="仿宋" w:eastAsia="仿宋"/>
          <w:sz w:val="32"/>
          <w:szCs w:val="32"/>
        </w:rPr>
        <w:t>1、党政综合办公室</w:t>
      </w:r>
    </w:p>
    <w:p w14:paraId="41468E0F">
      <w:pPr>
        <w:spacing w:line="360" w:lineRule="auto"/>
        <w:ind w:firstLine="640" w:firstLineChars="200"/>
        <w:rPr>
          <w:rFonts w:ascii="仿宋" w:hAnsi="仿宋" w:eastAsia="仿宋"/>
          <w:sz w:val="32"/>
          <w:szCs w:val="32"/>
        </w:rPr>
      </w:pPr>
      <w:r>
        <w:rPr>
          <w:rFonts w:hint="eastAsia" w:ascii="仿宋" w:hAnsi="仿宋" w:eastAsia="仿宋"/>
          <w:sz w:val="32"/>
          <w:szCs w:val="32"/>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14:paraId="53DDEB9D">
      <w:pPr>
        <w:spacing w:line="360" w:lineRule="auto"/>
        <w:ind w:firstLine="640" w:firstLineChars="200"/>
        <w:rPr>
          <w:rFonts w:ascii="仿宋" w:hAnsi="仿宋" w:eastAsia="仿宋"/>
          <w:sz w:val="32"/>
          <w:szCs w:val="32"/>
        </w:rPr>
      </w:pPr>
      <w:r>
        <w:rPr>
          <w:rFonts w:hint="eastAsia" w:ascii="仿宋" w:hAnsi="仿宋" w:eastAsia="仿宋"/>
          <w:sz w:val="32"/>
          <w:szCs w:val="32"/>
        </w:rPr>
        <w:t>2、经济发展办公室</w:t>
      </w:r>
    </w:p>
    <w:p w14:paraId="493A04A0">
      <w:pPr>
        <w:spacing w:line="360" w:lineRule="auto"/>
        <w:ind w:firstLine="640" w:firstLineChars="200"/>
        <w:rPr>
          <w:rFonts w:ascii="仿宋" w:hAnsi="仿宋" w:eastAsia="仿宋"/>
          <w:sz w:val="32"/>
          <w:szCs w:val="32"/>
        </w:rPr>
      </w:pPr>
      <w:r>
        <w:rPr>
          <w:rFonts w:hint="eastAsia" w:ascii="仿宋" w:hAnsi="仿宋" w:eastAsia="仿宋"/>
          <w:sz w:val="32"/>
          <w:szCs w:val="32"/>
        </w:rPr>
        <w:t>负责农业、工业、第三产业发展规划的制定实施及</w:t>
      </w:r>
      <w:r>
        <w:rPr>
          <w:rFonts w:hint="eastAsia" w:ascii="仿宋" w:hAnsi="仿宋" w:eastAsia="仿宋"/>
          <w:sz w:val="32"/>
          <w:szCs w:val="32"/>
          <w:lang w:eastAsia="zh-CN"/>
        </w:rPr>
        <w:t>乡村</w:t>
      </w:r>
      <w:bookmarkStart w:id="0" w:name="_GoBack"/>
      <w:bookmarkEnd w:id="0"/>
      <w:r>
        <w:rPr>
          <w:rFonts w:hint="eastAsia" w:ascii="仿宋" w:hAnsi="仿宋" w:eastAsia="仿宋"/>
          <w:sz w:val="32"/>
          <w:szCs w:val="32"/>
        </w:rPr>
        <w:t>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14:paraId="44DBC5A5">
      <w:pPr>
        <w:spacing w:line="360" w:lineRule="auto"/>
        <w:ind w:firstLine="640" w:firstLineChars="200"/>
        <w:rPr>
          <w:rFonts w:ascii="仿宋" w:hAnsi="仿宋" w:eastAsia="仿宋"/>
          <w:sz w:val="32"/>
          <w:szCs w:val="32"/>
        </w:rPr>
      </w:pPr>
      <w:r>
        <w:rPr>
          <w:rFonts w:hint="eastAsia" w:ascii="仿宋" w:hAnsi="仿宋" w:eastAsia="仿宋"/>
          <w:sz w:val="32"/>
          <w:szCs w:val="32"/>
        </w:rPr>
        <w:t>3、社会事务办公室</w:t>
      </w:r>
    </w:p>
    <w:p w14:paraId="12A9D2E4">
      <w:pPr>
        <w:spacing w:line="360" w:lineRule="auto"/>
        <w:ind w:firstLine="640" w:firstLineChars="200"/>
        <w:rPr>
          <w:rFonts w:ascii="仿宋" w:hAnsi="仿宋" w:eastAsia="仿宋"/>
          <w:sz w:val="32"/>
          <w:szCs w:val="32"/>
        </w:rPr>
      </w:pPr>
      <w:r>
        <w:rPr>
          <w:rFonts w:hint="eastAsia" w:ascii="仿宋" w:hAnsi="仿宋" w:eastAsia="仿宋"/>
          <w:sz w:val="32"/>
          <w:szCs w:val="32"/>
        </w:rPr>
        <w:t>负责农村基层政权建设，指导村委会的民主选举、民主决策、民主管理和民主监督工作，指导村务公开，村帐镇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14:paraId="246A4119">
      <w:pPr>
        <w:spacing w:line="360" w:lineRule="auto"/>
        <w:ind w:firstLine="640" w:firstLineChars="200"/>
        <w:rPr>
          <w:rFonts w:ascii="仿宋" w:hAnsi="仿宋" w:eastAsia="仿宋"/>
          <w:sz w:val="32"/>
          <w:szCs w:val="32"/>
        </w:rPr>
      </w:pPr>
      <w:r>
        <w:rPr>
          <w:rFonts w:hint="eastAsia" w:ascii="仿宋" w:hAnsi="仿宋" w:eastAsia="仿宋"/>
          <w:sz w:val="32"/>
          <w:szCs w:val="32"/>
        </w:rPr>
        <w:t>4、规划建设办公室</w:t>
      </w:r>
    </w:p>
    <w:p w14:paraId="42721582">
      <w:pPr>
        <w:spacing w:line="360" w:lineRule="auto"/>
        <w:ind w:firstLine="640" w:firstLineChars="200"/>
        <w:rPr>
          <w:rFonts w:ascii="仿宋" w:hAnsi="仿宋" w:eastAsia="仿宋"/>
          <w:sz w:val="32"/>
          <w:szCs w:val="32"/>
        </w:rPr>
      </w:pPr>
      <w:r>
        <w:rPr>
          <w:rFonts w:hint="eastAsia" w:ascii="仿宋" w:hAnsi="仿宋" w:eastAsia="仿宋"/>
          <w:sz w:val="32"/>
          <w:szCs w:val="32"/>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镇村供水、排水、垃圾和污水处理、燃气、园林绿化、环境卫生等建设工作。完成镇党委、政府和上级有关部门交办的其他任务。</w:t>
      </w:r>
    </w:p>
    <w:p w14:paraId="26351B44">
      <w:pPr>
        <w:spacing w:line="360" w:lineRule="auto"/>
        <w:ind w:firstLine="640" w:firstLineChars="200"/>
        <w:rPr>
          <w:rFonts w:ascii="仿宋" w:hAnsi="仿宋" w:eastAsia="仿宋"/>
          <w:sz w:val="32"/>
          <w:szCs w:val="32"/>
        </w:rPr>
      </w:pPr>
      <w:r>
        <w:rPr>
          <w:rFonts w:hint="eastAsia" w:ascii="仿宋" w:hAnsi="仿宋" w:eastAsia="仿宋"/>
          <w:sz w:val="32"/>
          <w:szCs w:val="32"/>
        </w:rPr>
        <w:t>5、综合行政执法办公室</w:t>
      </w:r>
    </w:p>
    <w:p w14:paraId="39EC5E84">
      <w:pPr>
        <w:spacing w:line="360" w:lineRule="auto"/>
        <w:ind w:firstLine="640" w:firstLineChars="200"/>
        <w:rPr>
          <w:rFonts w:ascii="仿宋" w:hAnsi="仿宋" w:eastAsia="仿宋"/>
          <w:sz w:val="32"/>
          <w:szCs w:val="32"/>
        </w:rPr>
      </w:pPr>
      <w:r>
        <w:rPr>
          <w:rFonts w:hint="eastAsia" w:ascii="仿宋" w:hAnsi="仿宋" w:eastAsia="仿宋"/>
          <w:sz w:val="32"/>
          <w:szCs w:val="32"/>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14:paraId="16F21031">
      <w:pPr>
        <w:spacing w:line="360" w:lineRule="auto"/>
        <w:ind w:firstLine="640" w:firstLineChars="200"/>
        <w:rPr>
          <w:rFonts w:ascii="仿宋" w:hAnsi="仿宋" w:eastAsia="仿宋"/>
          <w:sz w:val="32"/>
          <w:szCs w:val="32"/>
        </w:rPr>
      </w:pPr>
      <w:r>
        <w:rPr>
          <w:rFonts w:hint="eastAsia" w:ascii="仿宋" w:hAnsi="仿宋" w:eastAsia="仿宋"/>
          <w:sz w:val="32"/>
          <w:szCs w:val="32"/>
        </w:rPr>
        <w:t>（二）事业单位设置</w:t>
      </w:r>
    </w:p>
    <w:p w14:paraId="3AB59270">
      <w:pPr>
        <w:spacing w:line="360" w:lineRule="auto"/>
        <w:ind w:firstLine="640" w:firstLineChars="200"/>
        <w:rPr>
          <w:rFonts w:ascii="仿宋" w:hAnsi="仿宋" w:eastAsia="仿宋"/>
          <w:sz w:val="32"/>
          <w:szCs w:val="32"/>
        </w:rPr>
      </w:pPr>
      <w:r>
        <w:rPr>
          <w:rFonts w:hint="eastAsia" w:ascii="仿宋" w:hAnsi="仿宋" w:eastAsia="仿宋"/>
          <w:sz w:val="32"/>
          <w:szCs w:val="32"/>
        </w:rPr>
        <w:t>1、党群服务中心</w:t>
      </w:r>
    </w:p>
    <w:p w14:paraId="0E362864">
      <w:pPr>
        <w:spacing w:line="360" w:lineRule="auto"/>
        <w:ind w:firstLine="640" w:firstLineChars="200"/>
        <w:rPr>
          <w:rFonts w:ascii="仿宋" w:hAnsi="仿宋" w:eastAsia="仿宋"/>
          <w:sz w:val="32"/>
          <w:szCs w:val="32"/>
        </w:rPr>
      </w:pPr>
      <w:r>
        <w:rPr>
          <w:rFonts w:hint="eastAsia" w:ascii="仿宋" w:hAnsi="仿宋" w:eastAsia="仿宋"/>
          <w:sz w:val="32"/>
          <w:szCs w:val="32"/>
        </w:rPr>
        <w:t>负责发挥服务党组织和党员群众的功能，开展宣传党的方针政策和理论知识、党务政策</w:t>
      </w:r>
      <w:r>
        <w:rPr>
          <w:rFonts w:hint="eastAsia" w:ascii="仿宋" w:hAnsi="仿宋" w:eastAsia="仿宋"/>
          <w:sz w:val="32"/>
          <w:szCs w:val="32"/>
          <w:lang w:eastAsia="zh-CN"/>
        </w:rPr>
        <w:t>咨询</w:t>
      </w:r>
      <w:r>
        <w:rPr>
          <w:rFonts w:hint="eastAsia" w:ascii="仿宋" w:hAnsi="仿宋" w:eastAsia="仿宋"/>
          <w:sz w:val="32"/>
          <w:szCs w:val="32"/>
        </w:rPr>
        <w:t>等活动。</w:t>
      </w:r>
    </w:p>
    <w:p w14:paraId="578BDED9">
      <w:pPr>
        <w:spacing w:line="360" w:lineRule="auto"/>
        <w:ind w:firstLine="640" w:firstLineChars="200"/>
        <w:rPr>
          <w:rFonts w:ascii="仿宋" w:hAnsi="仿宋" w:eastAsia="仿宋"/>
          <w:sz w:val="32"/>
          <w:szCs w:val="32"/>
        </w:rPr>
      </w:pPr>
      <w:r>
        <w:rPr>
          <w:rFonts w:hint="eastAsia" w:ascii="仿宋" w:hAnsi="仿宋" w:eastAsia="仿宋"/>
          <w:sz w:val="32"/>
          <w:szCs w:val="32"/>
        </w:rPr>
        <w:t>2、综合便民服务中心</w:t>
      </w:r>
    </w:p>
    <w:p w14:paraId="71662AF5">
      <w:pPr>
        <w:spacing w:line="360" w:lineRule="auto"/>
        <w:ind w:firstLine="640" w:firstLineChars="200"/>
        <w:rPr>
          <w:rFonts w:ascii="仿宋" w:hAnsi="仿宋" w:eastAsia="仿宋"/>
          <w:sz w:val="32"/>
          <w:szCs w:val="32"/>
        </w:rPr>
      </w:pPr>
      <w:r>
        <w:rPr>
          <w:rFonts w:hint="eastAsia" w:ascii="仿宋" w:hAnsi="仿宋" w:eastAsia="仿宋"/>
          <w:sz w:val="32"/>
          <w:szCs w:val="32"/>
        </w:rPr>
        <w:t>负责制定镇综合便民服务中心的管理制度并组织实施；结合实际设置基层来信来访、镇村建设、农业农村服务。</w:t>
      </w:r>
    </w:p>
    <w:p w14:paraId="32AC6DC2">
      <w:pPr>
        <w:spacing w:line="360" w:lineRule="auto"/>
        <w:ind w:firstLine="640" w:firstLineChars="200"/>
        <w:rPr>
          <w:rFonts w:ascii="仿宋" w:hAnsi="仿宋" w:eastAsia="仿宋"/>
          <w:sz w:val="32"/>
          <w:szCs w:val="32"/>
        </w:rPr>
      </w:pPr>
      <w:r>
        <w:rPr>
          <w:rFonts w:hint="eastAsia" w:ascii="仿宋" w:hAnsi="仿宋" w:eastAsia="仿宋"/>
          <w:sz w:val="32"/>
          <w:szCs w:val="32"/>
        </w:rPr>
        <w:t>3、退役军人服务保障工作站</w:t>
      </w:r>
    </w:p>
    <w:p w14:paraId="10A52B1F">
      <w:pPr>
        <w:spacing w:line="360" w:lineRule="auto"/>
        <w:ind w:firstLine="640" w:firstLineChars="200"/>
        <w:rPr>
          <w:rFonts w:ascii="仿宋" w:hAnsi="仿宋" w:eastAsia="仿宋"/>
          <w:sz w:val="32"/>
          <w:szCs w:val="32"/>
        </w:rPr>
      </w:pPr>
      <w:r>
        <w:rPr>
          <w:rFonts w:hint="eastAsia" w:ascii="仿宋" w:hAnsi="仿宋" w:eastAsia="仿宋"/>
          <w:sz w:val="32"/>
          <w:szCs w:val="32"/>
        </w:rPr>
        <w:t>负责宣传贯彻有关退役军人法律、法规、政策，负责退役军人信访服务相关工作。</w:t>
      </w:r>
    </w:p>
    <w:p w14:paraId="24022B6F">
      <w:pPr>
        <w:rPr>
          <w:rFonts w:ascii="仿宋" w:hAnsi="仿宋" w:eastAsia="仿宋"/>
          <w:color w:val="333333"/>
          <w:kern w:val="0"/>
          <w:sz w:val="32"/>
          <w:szCs w:val="32"/>
        </w:rPr>
      </w:pPr>
      <w:r>
        <w:rPr>
          <w:rFonts w:hint="eastAsia" w:ascii="仿宋" w:hAnsi="仿宋" w:eastAsia="仿宋"/>
          <w:color w:val="333333"/>
          <w:kern w:val="0"/>
          <w:sz w:val="32"/>
          <w:szCs w:val="32"/>
        </w:rPr>
        <w:t>第二部分：2020年度部门决算公开报表</w:t>
      </w:r>
    </w:p>
    <w:p w14:paraId="6B54CC3D">
      <w:pPr>
        <w:rPr>
          <w:rFonts w:ascii="仿宋" w:hAnsi="仿宋" w:eastAsia="仿宋"/>
          <w:color w:val="333333"/>
          <w:kern w:val="0"/>
          <w:sz w:val="32"/>
          <w:szCs w:val="32"/>
        </w:rPr>
      </w:pPr>
      <w:r>
        <w:rPr>
          <w:rFonts w:hint="eastAsia" w:ascii="仿宋" w:hAnsi="仿宋" w:eastAsia="仿宋"/>
          <w:color w:val="333333"/>
          <w:kern w:val="0"/>
          <w:sz w:val="32"/>
          <w:szCs w:val="32"/>
        </w:rPr>
        <w:t>附件：大同市浑源县西坊城镇人民政府2020年度部门决算公开报表.xls</w:t>
      </w:r>
    </w:p>
    <w:p w14:paraId="72A137E4">
      <w:pPr>
        <w:rPr>
          <w:rFonts w:ascii="仿宋" w:hAnsi="仿宋" w:eastAsia="仿宋"/>
          <w:color w:val="333333"/>
          <w:kern w:val="0"/>
          <w:sz w:val="32"/>
          <w:szCs w:val="32"/>
        </w:rPr>
      </w:pPr>
      <w:r>
        <w:rPr>
          <w:rFonts w:hint="eastAsia" w:ascii="仿宋" w:hAnsi="仿宋" w:eastAsia="仿宋"/>
          <w:color w:val="333333"/>
          <w:kern w:val="0"/>
          <w:sz w:val="32"/>
          <w:szCs w:val="32"/>
        </w:rPr>
        <w:t>第三部分：2020年度部门决算情况说明</w:t>
      </w:r>
    </w:p>
    <w:p w14:paraId="57FA674D">
      <w:pPr>
        <w:pStyle w:val="6"/>
        <w:numPr>
          <w:ilvl w:val="0"/>
          <w:numId w:val="1"/>
        </w:numPr>
        <w:ind w:firstLine="288" w:firstLineChars="90"/>
        <w:rPr>
          <w:rFonts w:ascii="仿宋" w:hAnsi="仿宋" w:eastAsia="仿宋"/>
          <w:color w:val="333333"/>
          <w:kern w:val="0"/>
          <w:sz w:val="32"/>
          <w:szCs w:val="32"/>
        </w:rPr>
      </w:pPr>
      <w:r>
        <w:rPr>
          <w:rFonts w:hint="eastAsia" w:ascii="仿宋" w:hAnsi="仿宋" w:eastAsia="仿宋"/>
          <w:color w:val="333333"/>
          <w:kern w:val="0"/>
          <w:sz w:val="32"/>
          <w:szCs w:val="32"/>
        </w:rPr>
        <w:t>决算收入情况</w:t>
      </w:r>
    </w:p>
    <w:p w14:paraId="60964AA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收入为1286.26</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年度总收入为3132.06</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-58.93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中：一般公共预算财政拨款本年度收入为1286.26</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年度收入为2942.47</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-56.29</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年度收入为189.59</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-100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w:t>
      </w:r>
    </w:p>
    <w:p w14:paraId="1A2D7666">
      <w:pPr>
        <w:pStyle w:val="6"/>
        <w:numPr>
          <w:ilvl w:val="0"/>
          <w:numId w:val="1"/>
        </w:numPr>
        <w:ind w:firstLine="288" w:firstLineChars="90"/>
        <w:rPr>
          <w:rFonts w:ascii="仿宋" w:hAnsi="仿宋" w:eastAsia="仿宋"/>
          <w:color w:val="333333"/>
          <w:kern w:val="0"/>
          <w:sz w:val="32"/>
          <w:szCs w:val="32"/>
        </w:rPr>
      </w:pPr>
      <w:r>
        <w:rPr>
          <w:rFonts w:hint="eastAsia" w:ascii="仿宋" w:hAnsi="仿宋" w:eastAsia="仿宋"/>
          <w:color w:val="333333"/>
          <w:kern w:val="0"/>
          <w:sz w:val="32"/>
          <w:szCs w:val="32"/>
        </w:rPr>
        <w:t>决算支出情况</w:t>
      </w:r>
    </w:p>
    <w:p w14:paraId="7413FE0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单位本年度总支出为1389.46</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元，上年度总支出为3070.27</w:t>
      </w:r>
      <w:r>
        <w:rPr>
          <w:rFonts w:hint="eastAsia" w:ascii="仿宋" w:hAnsi="仿宋" w:eastAsia="仿宋"/>
          <w:color w:val="333333"/>
          <w:kern w:val="0"/>
          <w:sz w:val="32"/>
          <w:szCs w:val="32"/>
        </w:rPr>
        <w:t>万元</w:t>
      </w:r>
      <w:r>
        <w:rPr>
          <w:rFonts w:ascii="仿宋" w:hAnsi="仿宋" w:eastAsia="仿宋"/>
          <w:color w:val="333333"/>
          <w:kern w:val="0"/>
          <w:sz w:val="32"/>
          <w:szCs w:val="32"/>
        </w:rPr>
        <w:t>，增减-54.74</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本支出本年度支出为367.46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年度支出为349.38</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5.17</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支出本年度支出为1022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年度支出为2720.89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-62.44</w:t>
      </w:r>
      <w:r>
        <w:rPr>
          <w:rFonts w:hint="eastAsia" w:ascii="仿宋" w:hAnsi="仿宋" w:eastAsia="仿宋"/>
          <w:color w:val="333333"/>
          <w:kern w:val="0"/>
          <w:sz w:val="32"/>
          <w:szCs w:val="32"/>
        </w:rPr>
        <w:t xml:space="preserve"> %。</w:t>
      </w:r>
    </w:p>
    <w:p w14:paraId="382FF7C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38E0E42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支出为2.74</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174</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出为2.74</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174</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14:paraId="3413E48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7B712E8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支出为47.6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年度支出为42.04</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13.24</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14:paraId="6E9FF9F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5DD2D6A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14:paraId="4677C37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5CD9488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14:paraId="2C839CB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权房屋面积为895</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110.59万元。</w:t>
      </w:r>
    </w:p>
    <w:p w14:paraId="6C565FE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14:paraId="2FFD593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面车辆为1</w:t>
      </w:r>
      <w:r>
        <w:rPr>
          <w:rFonts w:hint="eastAsia" w:ascii="仿宋" w:hAnsi="仿宋" w:eastAsia="仿宋"/>
          <w:color w:val="333333"/>
          <w:kern w:val="0"/>
          <w:sz w:val="32"/>
          <w:szCs w:val="32"/>
        </w:rPr>
        <w:t>辆</w:t>
      </w:r>
      <w:r>
        <w:rPr>
          <w:rFonts w:ascii="仿宋" w:hAnsi="仿宋" w:eastAsia="仿宋"/>
          <w:color w:val="333333"/>
          <w:kern w:val="0"/>
          <w:sz w:val="32"/>
          <w:szCs w:val="32"/>
        </w:rPr>
        <w:t>，价值1.5</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14:paraId="2AB854C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60DB3D6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2020年度，本单位实行绩效目标管理的项目14个。</w:t>
      </w:r>
    </w:p>
    <w:p w14:paraId="49E8535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第四</w:t>
      </w:r>
      <w:r>
        <w:rPr>
          <w:rFonts w:ascii="仿宋" w:hAnsi="仿宋" w:eastAsia="仿宋"/>
          <w:color w:val="333333"/>
          <w:kern w:val="0"/>
          <w:sz w:val="32"/>
          <w:szCs w:val="32"/>
        </w:rPr>
        <w:t>部分</w:t>
      </w:r>
      <w:r>
        <w:rPr>
          <w:rFonts w:hint="eastAsia" w:ascii="仿宋" w:hAnsi="仿宋" w:eastAsia="仿宋"/>
          <w:color w:val="333333"/>
          <w:kern w:val="0"/>
          <w:sz w:val="32"/>
          <w:szCs w:val="32"/>
        </w:rPr>
        <w:t xml:space="preserve"> 部</w:t>
      </w:r>
      <w:r>
        <w:rPr>
          <w:rFonts w:ascii="仿宋" w:hAnsi="仿宋" w:eastAsia="仿宋"/>
          <w:color w:val="333333"/>
          <w:kern w:val="0"/>
          <w:sz w:val="32"/>
          <w:szCs w:val="32"/>
        </w:rPr>
        <w:t>门</w:t>
      </w:r>
      <w:r>
        <w:rPr>
          <w:rFonts w:hint="eastAsia" w:ascii="仿宋" w:hAnsi="仿宋" w:eastAsia="仿宋"/>
          <w:color w:val="333333"/>
          <w:kern w:val="0"/>
          <w:sz w:val="32"/>
          <w:szCs w:val="32"/>
        </w:rPr>
        <w:t>名词解释</w:t>
      </w:r>
    </w:p>
    <w:p w14:paraId="3104D0B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一、财政拨款：财政拨款包括一般公共预算财政拨款、政府性基金预算财政拨款和国有资本经营预算财政拨款。</w:t>
      </w:r>
    </w:p>
    <w:p w14:paraId="7C2D4BE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ACCA936">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4C149945">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298257C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14:paraId="10DF7B2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14:paraId="75B25AF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14:paraId="539E31D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14:paraId="719F7D8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14:paraId="71065C1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14:paraId="51C3C9A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14:paraId="5959B3E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429A49A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14:paraId="43B3BE8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14:paraId="291B118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14:paraId="4BCE007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14:paraId="07574FE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14:paraId="253566F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14:paraId="4EB4625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14:paraId="22479BD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14:paraId="7428707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14:paraId="6270E933">
      <w:pPr>
        <w:rPr>
          <w:rFonts w:ascii="仿宋" w:hAnsi="仿宋" w:eastAsia="仿宋"/>
          <w:sz w:val="32"/>
          <w:szCs w:val="32"/>
        </w:rPr>
      </w:pPr>
    </w:p>
    <w:p w14:paraId="4F445925">
      <w:pPr>
        <w:jc w:val="right"/>
        <w:rPr>
          <w:rFonts w:ascii="仿宋" w:hAnsi="仿宋" w:eastAsia="仿宋"/>
          <w:sz w:val="32"/>
          <w:szCs w:val="32"/>
        </w:rPr>
      </w:pPr>
    </w:p>
    <w:p w14:paraId="0E3E3C0B">
      <w:pPr>
        <w:jc w:val="right"/>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2021</w:t>
      </w:r>
      <w:r>
        <w:rPr>
          <w:rFonts w:hint="eastAsia" w:ascii="仿宋" w:hAnsi="仿宋" w:eastAsia="仿宋"/>
          <w:sz w:val="32"/>
          <w:szCs w:val="32"/>
        </w:rPr>
        <w:t>年8月</w:t>
      </w:r>
      <w:r>
        <w:rPr>
          <w:rFonts w:ascii="仿宋" w:hAnsi="仿宋" w:eastAsia="仿宋"/>
          <w:sz w:val="32"/>
          <w:szCs w:val="32"/>
        </w:rPr>
        <w:t>9</w:t>
      </w:r>
      <w:r>
        <w:rPr>
          <w:rFonts w:hint="eastAsia" w:ascii="仿宋" w:hAnsi="仿宋" w:eastAsia="仿宋"/>
          <w:sz w:val="32"/>
          <w:szCs w:val="32"/>
        </w:rPr>
        <w:t>日</w:t>
      </w:r>
    </w:p>
    <w:p w14:paraId="2BC9FC29"/>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272D8"/>
    <w:rsid w:val="000312C8"/>
    <w:rsid w:val="00053CFC"/>
    <w:rsid w:val="000823E4"/>
    <w:rsid w:val="000C7DA3"/>
    <w:rsid w:val="000E3A02"/>
    <w:rsid w:val="00110194"/>
    <w:rsid w:val="0012759D"/>
    <w:rsid w:val="001755AA"/>
    <w:rsid w:val="00187199"/>
    <w:rsid w:val="00233D19"/>
    <w:rsid w:val="0027730E"/>
    <w:rsid w:val="002C018A"/>
    <w:rsid w:val="002D6031"/>
    <w:rsid w:val="002E0A76"/>
    <w:rsid w:val="00305655"/>
    <w:rsid w:val="003A6E0A"/>
    <w:rsid w:val="003B3919"/>
    <w:rsid w:val="00402F64"/>
    <w:rsid w:val="00461C82"/>
    <w:rsid w:val="00470500"/>
    <w:rsid w:val="004A715E"/>
    <w:rsid w:val="004B1E33"/>
    <w:rsid w:val="004C52F9"/>
    <w:rsid w:val="004F0ED2"/>
    <w:rsid w:val="005000A8"/>
    <w:rsid w:val="00506073"/>
    <w:rsid w:val="0051584E"/>
    <w:rsid w:val="00531ED5"/>
    <w:rsid w:val="0054497A"/>
    <w:rsid w:val="00544A73"/>
    <w:rsid w:val="00580EF9"/>
    <w:rsid w:val="00582034"/>
    <w:rsid w:val="00590A84"/>
    <w:rsid w:val="00605E1E"/>
    <w:rsid w:val="0062210F"/>
    <w:rsid w:val="006530BC"/>
    <w:rsid w:val="0066027C"/>
    <w:rsid w:val="00673748"/>
    <w:rsid w:val="00674307"/>
    <w:rsid w:val="006946AF"/>
    <w:rsid w:val="00697611"/>
    <w:rsid w:val="006C69C3"/>
    <w:rsid w:val="006E54CA"/>
    <w:rsid w:val="0070098C"/>
    <w:rsid w:val="0078226E"/>
    <w:rsid w:val="007B04B6"/>
    <w:rsid w:val="007C249E"/>
    <w:rsid w:val="007F219D"/>
    <w:rsid w:val="008623A4"/>
    <w:rsid w:val="00867E72"/>
    <w:rsid w:val="00885809"/>
    <w:rsid w:val="008C4869"/>
    <w:rsid w:val="008E1E34"/>
    <w:rsid w:val="008E6637"/>
    <w:rsid w:val="00994D5B"/>
    <w:rsid w:val="009B32F8"/>
    <w:rsid w:val="009B6078"/>
    <w:rsid w:val="009E6CC2"/>
    <w:rsid w:val="00A3228C"/>
    <w:rsid w:val="00A420B6"/>
    <w:rsid w:val="00A50FE7"/>
    <w:rsid w:val="00AA1C5D"/>
    <w:rsid w:val="00AB37E7"/>
    <w:rsid w:val="00AE3403"/>
    <w:rsid w:val="00AE6AFA"/>
    <w:rsid w:val="00B00202"/>
    <w:rsid w:val="00B01931"/>
    <w:rsid w:val="00BA36D3"/>
    <w:rsid w:val="00C23AA0"/>
    <w:rsid w:val="00C44367"/>
    <w:rsid w:val="00C46163"/>
    <w:rsid w:val="00C57268"/>
    <w:rsid w:val="00C64BA4"/>
    <w:rsid w:val="00CA04EB"/>
    <w:rsid w:val="00CA2EFC"/>
    <w:rsid w:val="00D15E6B"/>
    <w:rsid w:val="00D92CFE"/>
    <w:rsid w:val="00DB2608"/>
    <w:rsid w:val="00DC329F"/>
    <w:rsid w:val="00DE144A"/>
    <w:rsid w:val="00DF32D4"/>
    <w:rsid w:val="00E02F79"/>
    <w:rsid w:val="00E13B22"/>
    <w:rsid w:val="00E47B7C"/>
    <w:rsid w:val="00E47D80"/>
    <w:rsid w:val="00F25BB6"/>
    <w:rsid w:val="00FB5C0F"/>
    <w:rsid w:val="04F367EE"/>
    <w:rsid w:val="767C3A7A"/>
    <w:rsid w:val="7C41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1B55C-992E-4465-BBCF-4957E679874D}">
  <ds:schemaRefs/>
</ds:datastoreItem>
</file>

<file path=docProps/app.xml><?xml version="1.0" encoding="utf-8"?>
<Properties xmlns="http://schemas.openxmlformats.org/officeDocument/2006/extended-properties" xmlns:vt="http://schemas.openxmlformats.org/officeDocument/2006/docPropsVTypes">
  <Template>Normal</Template>
  <Pages>10</Pages>
  <Words>3651</Words>
  <Characters>3842</Characters>
  <Lines>28</Lines>
  <Paragraphs>8</Paragraphs>
  <TotalTime>20</TotalTime>
  <ScaleCrop>false</ScaleCrop>
  <LinksUpToDate>false</LinksUpToDate>
  <CharactersWithSpaces>3928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2025-07-24T02:48:25Z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E5EA6923A85B4B43983557AC4DE75591</vt:lpwstr>
  </property>
  <property fmtid="{D5CDD505-2E9C-101B-9397-08002B2CF9AE}" pid="4" name="KSOTemplateDocerSaveRecord">
    <vt:lpwstr>eyJoZGlkIjoiODM2MGQ5OTA4MzQzODIzZGFjMzUzMjljNzgyYTQ3NTMiLCJ1c2VySWQiOiIzNjcyOTAzODIifQ==</vt:lpwstr>
  </property>
</Properties>
</file>