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7783E">
      <w:pPr>
        <w:jc w:val="center"/>
        <w:rPr>
          <w:rFonts w:ascii="黑体" w:hAnsi="黑体" w:eastAsia="黑体"/>
          <w:sz w:val="36"/>
          <w:szCs w:val="36"/>
        </w:rPr>
      </w:pPr>
      <w:r>
        <w:rPr>
          <w:rFonts w:hint="eastAsia" w:ascii="黑体" w:hAnsi="黑体" w:eastAsia="黑体"/>
          <w:sz w:val="36"/>
          <w:szCs w:val="36"/>
        </w:rPr>
        <w:t>大同市浑源县蔡村镇人民政府</w:t>
      </w:r>
    </w:p>
    <w:p w14:paraId="315C56EA">
      <w:pPr>
        <w:jc w:val="center"/>
        <w:rPr>
          <w:rFonts w:ascii="黑体" w:hAnsi="黑体" w:eastAsia="黑体"/>
          <w:sz w:val="36"/>
          <w:szCs w:val="36"/>
        </w:rPr>
      </w:pPr>
      <w:r>
        <w:rPr>
          <w:rFonts w:hint="eastAsia" w:ascii="黑体" w:hAnsi="黑体" w:eastAsia="黑体"/>
          <w:sz w:val="36"/>
          <w:szCs w:val="36"/>
        </w:rPr>
        <w:t>2020年度部门决算公开说明</w:t>
      </w:r>
    </w:p>
    <w:p w14:paraId="0D112479">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14:paraId="2D411F2B">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14:paraId="78C5A0B5">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14:paraId="04F9D2CF">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14:paraId="626467AD">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14:paraId="47A77545">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14:paraId="729CFCB8">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14:paraId="32DD594D">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14:paraId="39D6323C">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14:paraId="35BFA8D4">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14:paraId="772C8D38">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14:paraId="379D58C4">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14:paraId="12478F7B">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14:paraId="701A0BBA">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14:paraId="2F8C4970">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14:paraId="21FB340B">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14:paraId="21A61DE6">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14:paraId="13455A99">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14:paraId="34CEE9FA">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7D42DBBC">
      <w:pPr>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136152F3">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bookmarkStart w:id="0" w:name="_GoBack"/>
      <w:bookmarkEnd w:id="0"/>
    </w:p>
    <w:p w14:paraId="13DA92EF">
      <w:pPr>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5E998AB8">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465FFDEE">
      <w:pPr>
        <w:rPr>
          <w:rFonts w:ascii="黑体" w:hAnsi="黑体" w:eastAsia="黑体"/>
          <w:b/>
          <w:color w:val="333333"/>
          <w:kern w:val="0"/>
          <w:szCs w:val="21"/>
        </w:rPr>
      </w:pPr>
      <w:r>
        <w:rPr>
          <w:rFonts w:hint="eastAsia" w:ascii="仿宋" w:hAnsi="仿宋" w:eastAsia="仿宋" w:cs="仿宋"/>
          <w:b/>
          <w:color w:val="333333"/>
          <w:kern w:val="0"/>
          <w:sz w:val="32"/>
          <w:szCs w:val="32"/>
        </w:rPr>
        <w:t>第四部分 部门名词解释</w:t>
      </w:r>
    </w:p>
    <w:p w14:paraId="08885641">
      <w:pPr>
        <w:rPr>
          <w:rFonts w:ascii="黑体" w:hAnsi="黑体" w:eastAsia="黑体"/>
          <w:b/>
          <w:color w:val="333333"/>
          <w:kern w:val="0"/>
          <w:szCs w:val="21"/>
        </w:rPr>
      </w:pPr>
    </w:p>
    <w:p w14:paraId="074F8297">
      <w:pPr>
        <w:rPr>
          <w:rFonts w:ascii="黑体" w:hAnsi="黑体" w:eastAsia="黑体"/>
          <w:b/>
          <w:color w:val="333333"/>
          <w:kern w:val="0"/>
          <w:szCs w:val="21"/>
        </w:rPr>
      </w:pPr>
    </w:p>
    <w:p w14:paraId="4BE915C6">
      <w:pPr>
        <w:rPr>
          <w:rFonts w:ascii="黑体" w:hAnsi="黑体" w:eastAsia="黑体"/>
          <w:b/>
          <w:color w:val="333333"/>
          <w:kern w:val="0"/>
          <w:szCs w:val="21"/>
        </w:rPr>
      </w:pPr>
    </w:p>
    <w:p w14:paraId="2F44B78C">
      <w:pPr>
        <w:rPr>
          <w:rFonts w:ascii="黑体" w:hAnsi="黑体" w:eastAsia="黑体"/>
          <w:b/>
          <w:color w:val="333333"/>
          <w:kern w:val="0"/>
          <w:szCs w:val="21"/>
        </w:rPr>
      </w:pPr>
    </w:p>
    <w:p w14:paraId="3D4944DB">
      <w:pPr>
        <w:rPr>
          <w:rFonts w:ascii="黑体" w:hAnsi="黑体" w:eastAsia="黑体"/>
          <w:b/>
          <w:color w:val="333333"/>
          <w:kern w:val="0"/>
          <w:szCs w:val="21"/>
        </w:rPr>
      </w:pPr>
    </w:p>
    <w:p w14:paraId="4654B90A">
      <w:pPr>
        <w:rPr>
          <w:rFonts w:ascii="黑体" w:hAnsi="黑体" w:eastAsia="黑体"/>
          <w:b/>
          <w:color w:val="333333"/>
          <w:kern w:val="0"/>
          <w:szCs w:val="21"/>
        </w:rPr>
      </w:pPr>
    </w:p>
    <w:p w14:paraId="16EAD3D1">
      <w:pPr>
        <w:rPr>
          <w:rFonts w:ascii="黑体" w:hAnsi="黑体" w:eastAsia="黑体"/>
          <w:b/>
          <w:color w:val="333333"/>
          <w:kern w:val="0"/>
          <w:szCs w:val="21"/>
        </w:rPr>
      </w:pPr>
    </w:p>
    <w:p w14:paraId="0F81BB0B">
      <w:pPr>
        <w:rPr>
          <w:rFonts w:ascii="黑体" w:hAnsi="黑体" w:eastAsia="黑体"/>
          <w:b/>
          <w:color w:val="333333"/>
          <w:kern w:val="0"/>
          <w:szCs w:val="21"/>
        </w:rPr>
      </w:pPr>
    </w:p>
    <w:p w14:paraId="6FC82658">
      <w:pPr>
        <w:rPr>
          <w:rFonts w:ascii="黑体" w:hAnsi="黑体" w:eastAsia="黑体"/>
          <w:b/>
          <w:color w:val="333333"/>
          <w:kern w:val="0"/>
          <w:szCs w:val="21"/>
        </w:rPr>
      </w:pPr>
    </w:p>
    <w:p w14:paraId="073B54C5">
      <w:pPr>
        <w:rPr>
          <w:rFonts w:ascii="黑体" w:hAnsi="黑体" w:eastAsia="黑体"/>
          <w:b/>
          <w:color w:val="333333"/>
          <w:kern w:val="0"/>
          <w:szCs w:val="21"/>
        </w:rPr>
      </w:pPr>
    </w:p>
    <w:p w14:paraId="5BBF8883">
      <w:pPr>
        <w:rPr>
          <w:rFonts w:ascii="黑体" w:hAnsi="黑体" w:eastAsia="黑体"/>
          <w:b/>
          <w:color w:val="333333"/>
          <w:kern w:val="0"/>
          <w:szCs w:val="21"/>
        </w:rPr>
      </w:pPr>
    </w:p>
    <w:p w14:paraId="25D4B219">
      <w:pPr>
        <w:rPr>
          <w:rFonts w:ascii="黑体" w:hAnsi="黑体" w:eastAsia="黑体"/>
          <w:b/>
          <w:color w:val="333333"/>
          <w:kern w:val="0"/>
          <w:szCs w:val="21"/>
        </w:rPr>
      </w:pPr>
    </w:p>
    <w:p w14:paraId="6FEB92D5">
      <w:pPr>
        <w:rPr>
          <w:rFonts w:ascii="黑体" w:hAnsi="黑体" w:eastAsia="黑体"/>
          <w:b/>
          <w:color w:val="333333"/>
          <w:kern w:val="0"/>
          <w:szCs w:val="21"/>
        </w:rPr>
      </w:pPr>
    </w:p>
    <w:p w14:paraId="36615FA6">
      <w:pPr>
        <w:rPr>
          <w:rFonts w:ascii="黑体" w:hAnsi="黑体" w:eastAsia="黑体"/>
          <w:b/>
          <w:color w:val="333333"/>
          <w:kern w:val="0"/>
          <w:szCs w:val="21"/>
        </w:rPr>
      </w:pPr>
    </w:p>
    <w:p w14:paraId="640B0B44">
      <w:pPr>
        <w:rPr>
          <w:rFonts w:ascii="黑体" w:hAnsi="黑体" w:eastAsia="黑体"/>
          <w:b/>
          <w:color w:val="333333"/>
          <w:kern w:val="0"/>
          <w:szCs w:val="21"/>
        </w:rPr>
      </w:pPr>
    </w:p>
    <w:p w14:paraId="4820E0C2">
      <w:pPr>
        <w:rPr>
          <w:rFonts w:ascii="黑体" w:hAnsi="黑体" w:eastAsia="黑体"/>
          <w:b/>
          <w:color w:val="333333"/>
          <w:kern w:val="0"/>
          <w:szCs w:val="21"/>
        </w:rPr>
      </w:pPr>
    </w:p>
    <w:p w14:paraId="4AD5925E">
      <w:pPr>
        <w:rPr>
          <w:rFonts w:ascii="黑体" w:hAnsi="黑体" w:eastAsia="黑体"/>
          <w:b/>
          <w:color w:val="333333"/>
          <w:kern w:val="0"/>
          <w:szCs w:val="21"/>
        </w:rPr>
      </w:pPr>
    </w:p>
    <w:p w14:paraId="3579F540">
      <w:pPr>
        <w:rPr>
          <w:rFonts w:ascii="黑体" w:hAnsi="黑体" w:eastAsia="黑体"/>
          <w:b/>
          <w:color w:val="333333"/>
          <w:kern w:val="0"/>
          <w:szCs w:val="21"/>
        </w:rPr>
      </w:pPr>
    </w:p>
    <w:p w14:paraId="4FD11896">
      <w:pPr>
        <w:rPr>
          <w:rFonts w:ascii="黑体" w:hAnsi="黑体" w:eastAsia="黑体"/>
          <w:b/>
          <w:color w:val="333333"/>
          <w:kern w:val="0"/>
          <w:szCs w:val="21"/>
        </w:rPr>
      </w:pPr>
    </w:p>
    <w:p w14:paraId="31B984F8">
      <w:pPr>
        <w:rPr>
          <w:rFonts w:ascii="黑体" w:hAnsi="黑体" w:eastAsia="黑体"/>
          <w:b/>
          <w:color w:val="333333"/>
          <w:kern w:val="0"/>
          <w:szCs w:val="21"/>
        </w:rPr>
      </w:pPr>
    </w:p>
    <w:p w14:paraId="5D0CCB71">
      <w:pPr>
        <w:rPr>
          <w:rFonts w:ascii="黑体" w:hAnsi="黑体" w:eastAsia="黑体"/>
          <w:b/>
          <w:color w:val="333333"/>
          <w:kern w:val="0"/>
          <w:szCs w:val="21"/>
        </w:rPr>
      </w:pPr>
    </w:p>
    <w:p w14:paraId="21547A44">
      <w:pPr>
        <w:rPr>
          <w:rFonts w:ascii="黑体" w:hAnsi="黑体" w:eastAsia="黑体"/>
          <w:b/>
          <w:color w:val="333333"/>
          <w:kern w:val="0"/>
          <w:szCs w:val="21"/>
        </w:rPr>
      </w:pPr>
    </w:p>
    <w:p w14:paraId="7D068CF2">
      <w:pPr>
        <w:rPr>
          <w:rFonts w:ascii="黑体" w:hAnsi="黑体" w:eastAsia="黑体"/>
          <w:b/>
          <w:color w:val="333333"/>
          <w:kern w:val="0"/>
          <w:szCs w:val="21"/>
        </w:rPr>
      </w:pPr>
    </w:p>
    <w:p w14:paraId="3493D7C3">
      <w:pPr>
        <w:rPr>
          <w:rFonts w:ascii="黑体" w:hAnsi="黑体" w:eastAsia="黑体"/>
          <w:b/>
          <w:color w:val="333333"/>
          <w:kern w:val="0"/>
          <w:szCs w:val="21"/>
        </w:rPr>
      </w:pPr>
    </w:p>
    <w:p w14:paraId="216ABE81">
      <w:pPr>
        <w:rPr>
          <w:rFonts w:ascii="黑体" w:hAnsi="黑体" w:eastAsia="黑体"/>
          <w:b/>
          <w:color w:val="333333"/>
          <w:kern w:val="0"/>
          <w:szCs w:val="21"/>
        </w:rPr>
      </w:pPr>
    </w:p>
    <w:p w14:paraId="154F7D58">
      <w:pPr>
        <w:rPr>
          <w:rFonts w:ascii="黑体" w:hAnsi="黑体" w:eastAsia="黑体"/>
          <w:b/>
          <w:color w:val="333333"/>
          <w:kern w:val="0"/>
          <w:szCs w:val="21"/>
        </w:rPr>
      </w:pPr>
    </w:p>
    <w:p w14:paraId="32B75083">
      <w:pPr>
        <w:rPr>
          <w:rFonts w:ascii="黑体" w:hAnsi="黑体" w:eastAsia="黑体"/>
          <w:b/>
          <w:color w:val="333333"/>
          <w:kern w:val="0"/>
          <w:szCs w:val="21"/>
        </w:rPr>
      </w:pPr>
      <w:r>
        <w:rPr>
          <w:rFonts w:hint="eastAsia" w:ascii="仿宋" w:hAnsi="仿宋" w:eastAsia="仿宋" w:cs="仿宋"/>
          <w:b/>
          <w:color w:val="333333"/>
          <w:kern w:val="0"/>
          <w:sz w:val="32"/>
          <w:szCs w:val="32"/>
        </w:rPr>
        <w:t>内容</w:t>
      </w:r>
    </w:p>
    <w:p w14:paraId="7E52362C">
      <w:pPr>
        <w:rPr>
          <w:rFonts w:ascii="仿宋" w:hAnsi="仿宋" w:eastAsia="仿宋" w:cs="仿宋"/>
          <w:kern w:val="0"/>
          <w:sz w:val="32"/>
          <w:szCs w:val="32"/>
        </w:rPr>
      </w:pPr>
      <w:r>
        <w:rPr>
          <w:rFonts w:hint="eastAsia" w:ascii="仿宋" w:hAnsi="仿宋" w:eastAsia="仿宋" w:cs="仿宋"/>
          <w:kern w:val="0"/>
          <w:sz w:val="32"/>
          <w:szCs w:val="32"/>
        </w:rPr>
        <w:t>第一部分：大同市浑源县蔡村镇人民政府概况</w:t>
      </w:r>
    </w:p>
    <w:p w14:paraId="69A89ED3">
      <w:pPr>
        <w:numPr>
          <w:ilvl w:val="0"/>
          <w:numId w:val="1"/>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部门职责</w:t>
      </w:r>
    </w:p>
    <w:p w14:paraId="34FAB0AB">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647F155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（二）中国共产党浑源县蔡村镇党委领导蔡村镇全面工作。浑源县蔡村镇人民政府管理本辖区行政工作。</w:t>
      </w:r>
    </w:p>
    <w:p w14:paraId="5138587F">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（三）主要职责</w:t>
      </w:r>
    </w:p>
    <w:p w14:paraId="4B8FBB71">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1、宣传贯彻执行党的路线方针政策和国家法律法规，落实上级党委、政府的各项决策部署，执行上级党组织的决议、决定和本镇党员代表大会（党员大会）的决议，保证上级安排的各项任务顺利完成。  </w:t>
      </w:r>
    </w:p>
    <w:p w14:paraId="62E8998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2、讨论和决定本镇经济建设、政治建设、文化建设、社会建设、生态文明建设和党的建设以及乡村振兴的重大问题。</w:t>
      </w:r>
    </w:p>
    <w:p w14:paraId="06408BA7">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执行本镇经济和社会发展计划、预算、管理本镇经济、教育、科学、文化、卫生健康、体育事业和财政、统计、民政、司法行政等行政工作。落实本镇经济发展战略总体规划和土地利用、产业发展等专项规划，组织发展区域特色经济，提供符合当地实际和群众需求的公共服务。</w:t>
      </w:r>
    </w:p>
    <w:p w14:paraId="6ED7098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镇党委领导镇政权机关、群团组织和其他各类组织，加强指导和规范，支持和保证这些机关和组织依照国家法律法规以及各自章程履行职责。坚持党管武装的根本原则和制度，协调各方力量，对镇人民武装工作实行统一领导。</w:t>
      </w:r>
    </w:p>
    <w:p w14:paraId="2750A67C">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加强镇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14:paraId="76C7534D">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6、按照干部管理权限，负责对干部的教育、培训、选拔、考核和监督工作。协助管理上级有关部门派驻的干部。做好人才服务和引进工作。</w:t>
      </w:r>
    </w:p>
    <w:p w14:paraId="5FCC855D">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14:paraId="51500F4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3FC6BF99">
      <w:pPr>
        <w:spacing w:line="360" w:lineRule="auto"/>
        <w:ind w:firstLine="640" w:firstLineChars="200"/>
        <w:rPr>
          <w:rFonts w:ascii="仿宋" w:hAnsi="仿宋" w:eastAsia="仿宋" w:cs="仿宋"/>
          <w:color w:val="333333"/>
          <w:kern w:val="0"/>
          <w:sz w:val="32"/>
          <w:szCs w:val="32"/>
        </w:rPr>
      </w:pPr>
      <w:r>
        <w:rPr>
          <w:rFonts w:hint="eastAsia" w:ascii="仿宋" w:hAnsi="仿宋" w:eastAsia="仿宋" w:cs="仿宋"/>
          <w:sz w:val="32"/>
          <w:szCs w:val="32"/>
        </w:rPr>
        <w:t>9、完成上级党委、政府交办的其他事项。</w:t>
      </w:r>
    </w:p>
    <w:p w14:paraId="67314AA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14:paraId="7835D008">
      <w:pPr>
        <w:spacing w:line="360" w:lineRule="auto"/>
        <w:ind w:firstLine="640" w:firstLineChars="200"/>
        <w:rPr>
          <w:rFonts w:ascii="仿宋" w:hAnsi="仿宋" w:eastAsia="仿宋" w:cs="仿宋"/>
          <w:color w:val="FF0000"/>
          <w:sz w:val="32"/>
          <w:szCs w:val="32"/>
        </w:rPr>
      </w:pPr>
      <w:r>
        <w:rPr>
          <w:rFonts w:hint="eastAsia" w:ascii="仿宋" w:hAnsi="仿宋" w:eastAsia="仿宋" w:cs="仿宋"/>
          <w:sz w:val="32"/>
          <w:szCs w:val="32"/>
        </w:rPr>
        <w:t>党政机构设置</w:t>
      </w:r>
    </w:p>
    <w:p w14:paraId="7E1312C4">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党政综合办公室</w:t>
      </w:r>
    </w:p>
    <w:p w14:paraId="5FA66C74">
      <w:pPr>
        <w:spacing w:line="360" w:lineRule="auto"/>
        <w:rPr>
          <w:rFonts w:ascii="仿宋" w:hAnsi="仿宋" w:eastAsia="仿宋" w:cs="仿宋"/>
          <w:sz w:val="32"/>
          <w:szCs w:val="32"/>
        </w:rPr>
      </w:pPr>
      <w:r>
        <w:rPr>
          <w:rFonts w:hint="eastAsia" w:ascii="仿宋" w:hAnsi="仿宋" w:eastAsia="仿宋" w:cs="仿宋"/>
          <w:sz w:val="32"/>
          <w:szCs w:val="32"/>
        </w:rPr>
        <w:t>负责镇党委、政府机关日常工作；负责人大、政协、武装部具体事务；负责协调纪检督察、组织、宣传、统战、机构编制、巡查、老干部和工会、团委、妇联等方面工作；负责财务、人事、保密、档案、固定资产管理和后勤服务。完成镇党委、政府和上级有关部门交办的其他任务。</w:t>
      </w:r>
    </w:p>
    <w:p w14:paraId="7989EA3A">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经济发展办公室</w:t>
      </w:r>
    </w:p>
    <w:p w14:paraId="178C12DC">
      <w:pPr>
        <w:ind w:firstLine="640" w:firstLineChars="200"/>
        <w:rPr>
          <w:rFonts w:ascii="仿宋" w:hAnsi="仿宋" w:eastAsia="仿宋" w:cs="仿宋"/>
          <w:sz w:val="32"/>
          <w:szCs w:val="32"/>
        </w:rPr>
      </w:pPr>
      <w:r>
        <w:rPr>
          <w:rFonts w:hint="eastAsia" w:ascii="仿宋" w:hAnsi="仿宋" w:eastAsia="仿宋" w:cs="仿宋"/>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镇党委、政府和上级有关部门交办的其他任务。</w:t>
      </w:r>
    </w:p>
    <w:p w14:paraId="199225B5">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社会事务办公室（挂平安建设办公室牌子）</w:t>
      </w:r>
    </w:p>
    <w:p w14:paraId="072D9854">
      <w:pPr>
        <w:ind w:firstLine="640" w:firstLineChars="200"/>
        <w:rPr>
          <w:rFonts w:ascii="仿宋" w:hAnsi="仿宋" w:eastAsia="仿宋" w:cs="仿宋"/>
          <w:sz w:val="32"/>
          <w:szCs w:val="32"/>
        </w:rPr>
      </w:pPr>
      <w:r>
        <w:rPr>
          <w:rFonts w:hint="eastAsia" w:ascii="仿宋" w:hAnsi="仿宋" w:eastAsia="仿宋" w:cs="仿宋"/>
          <w:sz w:val="32"/>
          <w:szCs w:val="32"/>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镇应急管理、安全生产和防灾减灾救灾相关工作；负责教育、民政、人力资源和社会保障、文化旅游、卫生健康和体育、退役军人事务、医疗保障、行政审批服务、残疾人服务、慈善事务、红十字会事务等社会事务工作。完成镇党委、政府和上级有关部门交办的其他任务。</w:t>
      </w:r>
    </w:p>
    <w:p w14:paraId="0F981608">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规划建设办公室</w:t>
      </w:r>
    </w:p>
    <w:p w14:paraId="5FC4A71F">
      <w:pPr>
        <w:ind w:firstLine="640" w:firstLineChars="200"/>
        <w:rPr>
          <w:rFonts w:ascii="仿宋" w:hAnsi="仿宋" w:eastAsia="仿宋" w:cs="仿宋"/>
          <w:sz w:val="32"/>
          <w:szCs w:val="32"/>
        </w:rPr>
      </w:pPr>
      <w:r>
        <w:rPr>
          <w:rFonts w:hint="eastAsia" w:ascii="仿宋" w:hAnsi="仿宋" w:eastAsia="仿宋" w:cs="仿宋"/>
          <w:sz w:val="32"/>
          <w:szCs w:val="32"/>
        </w:rPr>
        <w:t>负责组织编制镇总体规划和村庄规划，根据镇总体规划的要求，组织编制镇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镇党委、政府和上级有关部门交办的其他任务。</w:t>
      </w:r>
    </w:p>
    <w:p w14:paraId="6057856C">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综合行政执法办公室</w:t>
      </w:r>
    </w:p>
    <w:p w14:paraId="52D9E07E">
      <w:pPr>
        <w:ind w:firstLine="640" w:firstLineChars="200"/>
        <w:rPr>
          <w:rFonts w:ascii="仿宋" w:hAnsi="仿宋" w:eastAsia="仿宋" w:cs="仿宋"/>
          <w:sz w:val="32"/>
          <w:szCs w:val="32"/>
        </w:rPr>
      </w:pPr>
      <w:r>
        <w:rPr>
          <w:rFonts w:hint="eastAsia" w:ascii="仿宋" w:hAnsi="仿宋" w:eastAsia="仿宋" w:cs="仿宋"/>
          <w:sz w:val="32"/>
          <w:szCs w:val="32"/>
        </w:rPr>
        <w:t>负责镇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镇党委、政府和上级有关部门交办的其他任务。</w:t>
      </w:r>
    </w:p>
    <w:p w14:paraId="1638A400">
      <w:pPr>
        <w:spacing w:line="360" w:lineRule="auto"/>
        <w:ind w:left="420" w:leftChars="200" w:firstLine="320" w:firstLineChars="100"/>
        <w:rPr>
          <w:rFonts w:ascii="仿宋" w:hAnsi="仿宋" w:eastAsia="仿宋" w:cs="仿宋"/>
          <w:sz w:val="32"/>
          <w:szCs w:val="32"/>
        </w:rPr>
      </w:pPr>
      <w:r>
        <w:rPr>
          <w:rFonts w:hint="eastAsia" w:ascii="仿宋" w:hAnsi="仿宋" w:eastAsia="仿宋" w:cs="仿宋"/>
          <w:sz w:val="32"/>
          <w:szCs w:val="32"/>
        </w:rPr>
        <w:t>事业单位设置</w:t>
      </w:r>
    </w:p>
    <w:p w14:paraId="13B4BE25">
      <w:pPr>
        <w:numPr>
          <w:ilvl w:val="0"/>
          <w:numId w:val="3"/>
        </w:numPr>
        <w:spacing w:line="360" w:lineRule="auto"/>
        <w:ind w:left="420" w:leftChars="200"/>
        <w:rPr>
          <w:rFonts w:ascii="仿宋" w:hAnsi="仿宋" w:eastAsia="仿宋" w:cs="仿宋"/>
          <w:sz w:val="32"/>
          <w:szCs w:val="32"/>
        </w:rPr>
      </w:pPr>
      <w:r>
        <w:rPr>
          <w:rFonts w:hint="eastAsia" w:ascii="仿宋" w:hAnsi="仿宋" w:eastAsia="仿宋" w:cs="仿宋"/>
          <w:sz w:val="32"/>
          <w:szCs w:val="32"/>
        </w:rPr>
        <w:t>党群服务中心</w:t>
      </w:r>
    </w:p>
    <w:p w14:paraId="1686EF3C">
      <w:pPr>
        <w:spacing w:line="360" w:lineRule="auto"/>
        <w:ind w:firstLine="576"/>
        <w:rPr>
          <w:rFonts w:ascii="仿宋" w:hAnsi="仿宋" w:eastAsia="仿宋" w:cs="仿宋"/>
          <w:sz w:val="32"/>
          <w:szCs w:val="32"/>
        </w:rPr>
      </w:pPr>
      <w:r>
        <w:rPr>
          <w:rFonts w:hint="eastAsia" w:ascii="仿宋" w:hAnsi="仿宋" w:eastAsia="仿宋" w:cs="仿宋"/>
          <w:sz w:val="32"/>
          <w:szCs w:val="32"/>
        </w:rPr>
        <w:t>负责发挥服务党组织和党员群众的功能，开展宣传党的方针政策和理论知识、党务</w:t>
      </w:r>
      <w:r>
        <w:rPr>
          <w:rFonts w:hint="eastAsia" w:ascii="仿宋" w:hAnsi="仿宋" w:eastAsia="仿宋" w:cs="仿宋"/>
          <w:sz w:val="32"/>
          <w:szCs w:val="32"/>
          <w:lang w:eastAsia="zh-CN"/>
        </w:rPr>
        <w:t>政策咨询</w:t>
      </w:r>
      <w:r>
        <w:rPr>
          <w:rFonts w:hint="eastAsia" w:ascii="仿宋" w:hAnsi="仿宋" w:eastAsia="仿宋" w:cs="仿宋"/>
          <w:sz w:val="32"/>
          <w:szCs w:val="32"/>
        </w:rPr>
        <w:t>等活动。</w:t>
      </w:r>
    </w:p>
    <w:p w14:paraId="4FD35066">
      <w:pPr>
        <w:numPr>
          <w:ilvl w:val="0"/>
          <w:numId w:val="3"/>
        </w:numPr>
        <w:spacing w:line="360" w:lineRule="auto"/>
        <w:ind w:left="420" w:leftChars="200"/>
        <w:rPr>
          <w:rFonts w:ascii="仿宋" w:hAnsi="仿宋" w:eastAsia="仿宋" w:cs="仿宋"/>
          <w:sz w:val="32"/>
          <w:szCs w:val="32"/>
        </w:rPr>
      </w:pPr>
      <w:r>
        <w:rPr>
          <w:rFonts w:hint="eastAsia" w:ascii="仿宋" w:hAnsi="仿宋" w:eastAsia="仿宋" w:cs="仿宋"/>
          <w:sz w:val="32"/>
          <w:szCs w:val="32"/>
        </w:rPr>
        <w:t>综合便民服务中心</w:t>
      </w:r>
    </w:p>
    <w:p w14:paraId="6B5A68D2">
      <w:pPr>
        <w:ind w:firstLine="640" w:firstLineChars="200"/>
        <w:rPr>
          <w:rFonts w:ascii="仿宋" w:hAnsi="仿宋" w:eastAsia="仿宋" w:cs="仿宋"/>
          <w:sz w:val="32"/>
          <w:szCs w:val="32"/>
        </w:rPr>
      </w:pPr>
      <w:r>
        <w:rPr>
          <w:rFonts w:hint="eastAsia" w:ascii="仿宋" w:hAnsi="仿宋" w:eastAsia="仿宋" w:cs="仿宋"/>
          <w:sz w:val="32"/>
          <w:szCs w:val="32"/>
        </w:rPr>
        <w:t>负责制定镇综合便民服务中心的管理制度并组织实施；结合实际设置基层来信来访、乡村建设、农业农村服务。</w:t>
      </w:r>
    </w:p>
    <w:p w14:paraId="3978E27C">
      <w:pPr>
        <w:spacing w:line="360" w:lineRule="auto"/>
        <w:ind w:left="420" w:leftChars="200"/>
        <w:rPr>
          <w:rFonts w:ascii="仿宋" w:hAnsi="仿宋" w:eastAsia="仿宋" w:cs="仿宋"/>
          <w:sz w:val="32"/>
          <w:szCs w:val="32"/>
        </w:rPr>
      </w:pPr>
      <w:r>
        <w:rPr>
          <w:rFonts w:hint="eastAsia" w:ascii="仿宋" w:hAnsi="仿宋" w:eastAsia="仿宋" w:cs="仿宋"/>
          <w:sz w:val="32"/>
          <w:szCs w:val="32"/>
        </w:rPr>
        <w:t>（三）退役军人服务保障工作站</w:t>
      </w:r>
    </w:p>
    <w:p w14:paraId="5AC2C26B">
      <w:pPr>
        <w:tabs>
          <w:tab w:val="left" w:pos="651"/>
        </w:tabs>
        <w:spacing w:line="360" w:lineRule="auto"/>
        <w:rPr>
          <w:rFonts w:ascii="仿宋" w:hAnsi="仿宋" w:eastAsia="仿宋" w:cs="仿宋"/>
          <w:color w:val="333333"/>
          <w:kern w:val="0"/>
          <w:sz w:val="32"/>
          <w:szCs w:val="32"/>
        </w:rPr>
      </w:pPr>
      <w:r>
        <w:rPr>
          <w:rFonts w:hint="eastAsia" w:ascii="仿宋" w:hAnsi="仿宋" w:eastAsia="仿宋" w:cs="仿宋"/>
          <w:sz w:val="32"/>
          <w:szCs w:val="32"/>
        </w:rPr>
        <w:tab/>
      </w:r>
      <w:r>
        <w:rPr>
          <w:rFonts w:hint="eastAsia" w:ascii="仿宋" w:hAnsi="仿宋" w:eastAsia="仿宋" w:cs="仿宋"/>
          <w:sz w:val="32"/>
          <w:szCs w:val="32"/>
        </w:rPr>
        <w:t>负责宣传贯彻有关退役军人法律、法规、政策，负责退役军人信访服务相关工作。</w:t>
      </w:r>
    </w:p>
    <w:p w14:paraId="02E414AA">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第二部分：2020年度部门决算公开报表</w:t>
      </w:r>
    </w:p>
    <w:p w14:paraId="113D7C34">
      <w:pPr>
        <w:rPr>
          <w:rFonts w:ascii="仿宋" w:hAnsi="仿宋" w:eastAsia="仿宋" w:cs="仿宋"/>
          <w:color w:val="333333"/>
          <w:kern w:val="0"/>
          <w:sz w:val="32"/>
          <w:szCs w:val="32"/>
        </w:rPr>
      </w:pPr>
      <w:r>
        <w:rPr>
          <w:rFonts w:hint="eastAsia" w:ascii="仿宋" w:hAnsi="仿宋" w:eastAsia="仿宋" w:cs="仿宋"/>
          <w:color w:val="333333"/>
          <w:kern w:val="0"/>
          <w:sz w:val="32"/>
          <w:szCs w:val="32"/>
        </w:rPr>
        <w:t>附件：大同市浑源县蔡村镇人民政府2020年度部门决算公开报表.xls</w:t>
      </w:r>
    </w:p>
    <w:p w14:paraId="4BAF9863">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第三部分：2020年度部门决算情况说明</w:t>
      </w:r>
    </w:p>
    <w:p w14:paraId="78959521">
      <w:pPr>
        <w:pStyle w:val="4"/>
        <w:numPr>
          <w:ilvl w:val="0"/>
          <w:numId w:val="4"/>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决算收入情况</w:t>
      </w:r>
    </w:p>
    <w:p w14:paraId="40C408D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收入为939.81万元，上年度总收入为3036.17万元，增减-69.05 %。其中：一般公共预算财政拨款本年度收入为939.81万元，上年度收入为1606.31万元，增减-41.49 %；政府性基金预算财政拨款本年度收入为0万元，上年度收入为1429.86万元，增减-100 %；事业收入本年度收入为0万元，上年度收入为0万元，增减0 %；其他收入本年度收入为0万元，上年度收入为0万元，增减0%。</w:t>
      </w:r>
    </w:p>
    <w:p w14:paraId="69577A9F">
      <w:pPr>
        <w:pStyle w:val="4"/>
        <w:numPr>
          <w:ilvl w:val="0"/>
          <w:numId w:val="4"/>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决算支出情况</w:t>
      </w:r>
    </w:p>
    <w:p w14:paraId="6D658EA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支出为961.81万元，上年度总支出为3068.06万元，增减-68.65 %。其中：基本支出本年度支出为396.06万元，上年度支出为356.28万元，增减11.17 %；项目支出本年度支出为565.74万元，上年度支出为2711.78万元，增减-79.14 %。</w:t>
      </w:r>
    </w:p>
    <w:p w14:paraId="6AFF445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3582DA9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三公”经费总支出为1.14万元，上年度支出为1.48万元，增减-22.97 %；其中：因公出国（境）费本年度支出0万元，上年度支出为0万元，增减0 %；公务用车购置及运行维护费支出为1.14万元，上年度支出为1.48万元，增减-22.97 %；公务接待费支出为0万元，上年度支出为0万元，增减0 %。</w:t>
      </w:r>
    </w:p>
    <w:p w14:paraId="76CC221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22A9BF9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本单位本年度机关运行经费总支出为42.74万元，上年度支出为33.62万元，增减27.13 %；主要为日常办公费、水电、差旅、印刷、委托业务费等费用。</w:t>
      </w:r>
    </w:p>
    <w:p w14:paraId="13DE5E8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14:paraId="12AB5A2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本单位本年度政府采购总价为4.95万元，其中：货物采购4.95万元，工程采购0万元，服务采购0万元。</w:t>
      </w:r>
    </w:p>
    <w:p w14:paraId="651271E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4224B06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（1）房屋情况</w:t>
      </w:r>
    </w:p>
    <w:p w14:paraId="02F334A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截止2020年12月31日， 我单位产权房屋面积为2353.2平方米，价值208.15万元。</w:t>
      </w:r>
    </w:p>
    <w:p w14:paraId="64B4FF3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（2）车辆情况</w:t>
      </w:r>
    </w:p>
    <w:p w14:paraId="019E2E5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单位账面车辆为2辆，价值10.68万元。</w:t>
      </w:r>
    </w:p>
    <w:p w14:paraId="1AE0793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6F27309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2020年度，本单位实行绩效目标管理的项目7个。</w:t>
      </w:r>
    </w:p>
    <w:p w14:paraId="18FC7BD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14:paraId="2570935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14:paraId="123B19C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227567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50E3B7F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3547783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14:paraId="2BB1293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14:paraId="7570444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14:paraId="41F8579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14:paraId="460F5BD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14:paraId="54F1B40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14:paraId="59A0BD5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14:paraId="5EFB327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739F638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14:paraId="0BA86FB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14:paraId="767DFFD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14:paraId="5F11F13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14:paraId="75685EF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14:paraId="1DC7763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14:paraId="29128FA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14:paraId="1376A0B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14:paraId="58743A9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14:paraId="68A106E2">
      <w:pPr>
        <w:rPr>
          <w:rFonts w:ascii="仿宋" w:hAnsi="仿宋" w:eastAsia="仿宋" w:cs="仿宋"/>
          <w:sz w:val="32"/>
          <w:szCs w:val="32"/>
        </w:rPr>
      </w:pPr>
    </w:p>
    <w:p w14:paraId="59BBDEA0">
      <w:pPr>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14:paraId="5661E7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366A6B"/>
    <w:multiLevelType w:val="singleLevel"/>
    <w:tmpl w:val="F6366A6B"/>
    <w:lvl w:ilvl="0" w:tentative="0">
      <w:start w:val="1"/>
      <w:numFmt w:val="chineseCounting"/>
      <w:suff w:val="nothing"/>
      <w:lvlText w:val="%1、"/>
      <w:lvlJc w:val="left"/>
      <w:rPr>
        <w:rFonts w:hint="eastAsia"/>
      </w:rPr>
    </w:lvl>
  </w:abstractNum>
  <w:abstractNum w:abstractNumId="1">
    <w:nsid w:val="1063C33B"/>
    <w:multiLevelType w:val="singleLevel"/>
    <w:tmpl w:val="1063C33B"/>
    <w:lvl w:ilvl="0" w:tentative="0">
      <w:start w:val="1"/>
      <w:numFmt w:val="chineseCounting"/>
      <w:suff w:val="nothing"/>
      <w:lvlText w:val="（%1）"/>
      <w:lvlJc w:val="left"/>
      <w:rPr>
        <w:rFonts w:hint="eastAsia"/>
      </w:rPr>
    </w:lvl>
  </w:abstractNum>
  <w:abstractNum w:abstractNumId="2">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C7D42D6"/>
    <w:multiLevelType w:val="singleLevel"/>
    <w:tmpl w:val="7C7D42D6"/>
    <w:lvl w:ilvl="0" w:tentative="0">
      <w:start w:val="1"/>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241"/>
    <w:rsid w:val="00016241"/>
    <w:rsid w:val="00713B1A"/>
    <w:rsid w:val="021A0D88"/>
    <w:rsid w:val="184A5AE5"/>
    <w:rsid w:val="29A52925"/>
    <w:rsid w:val="356E6098"/>
    <w:rsid w:val="4F4544EC"/>
    <w:rsid w:val="58AD18B5"/>
    <w:rsid w:val="78940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4387</Words>
  <Characters>4602</Characters>
  <Lines>34</Lines>
  <Paragraphs>9</Paragraphs>
  <TotalTime>61</TotalTime>
  <ScaleCrop>false</ScaleCrop>
  <LinksUpToDate>false</LinksUpToDate>
  <CharactersWithSpaces>4665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刘萍</cp:lastModifiedBy>
  <cp:lastPrinted>2021-08-25T03:20:00Z</cp:lastPrinted>
  <dcterms:modified xsi:type="dcterms:W3CDTF">2025-04-25T11:29:26Z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7664527ED0CD49389F1E78264446A450</vt:lpwstr>
  </property>
  <property fmtid="{D5CDD505-2E9C-101B-9397-08002B2CF9AE}" pid="4" name="KSOTemplateDocerSaveRecord">
    <vt:lpwstr>eyJoZGlkIjoiODM2MGQ5OTA4MzQzODIzZGFjMzUzMjljNzgyYTQ3NTMiLCJ1c2VySWQiOiIzNjcyOTAzODIifQ==</vt:lpwstr>
  </property>
</Properties>
</file>