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85CB4">
      <w:pPr>
        <w:jc w:val="center"/>
        <w:rPr>
          <w:rFonts w:ascii="黑体" w:hAnsi="黑体" w:eastAsia="黑体"/>
          <w:sz w:val="36"/>
          <w:szCs w:val="36"/>
        </w:rPr>
      </w:pPr>
      <w:bookmarkStart w:id="0" w:name="_GoBack"/>
      <w:bookmarkEnd w:id="0"/>
      <w:r>
        <w:rPr>
          <w:rFonts w:hint="eastAsia" w:ascii="黑体" w:hAnsi="黑体" w:eastAsia="黑体"/>
          <w:sz w:val="36"/>
          <w:szCs w:val="36"/>
        </w:rPr>
        <w:t>大同市浑源县沙圪坨镇人民政府</w:t>
      </w:r>
    </w:p>
    <w:p w14:paraId="3D7B6B71">
      <w:pPr>
        <w:jc w:val="center"/>
        <w:rPr>
          <w:rFonts w:ascii="黑体" w:hAnsi="黑体" w:eastAsia="黑体"/>
          <w:sz w:val="36"/>
          <w:szCs w:val="36"/>
        </w:rPr>
      </w:pPr>
      <w:r>
        <w:rPr>
          <w:rFonts w:hint="eastAsia" w:ascii="黑体" w:hAnsi="黑体" w:eastAsia="黑体"/>
          <w:sz w:val="36"/>
          <w:szCs w:val="36"/>
        </w:rPr>
        <w:t>2020年度部门决算公开说明</w:t>
      </w:r>
    </w:p>
    <w:p w14:paraId="3189C5BB">
      <w:pPr>
        <w:rPr>
          <w:rFonts w:ascii="黑体" w:hAnsi="黑体" w:eastAsia="黑体"/>
          <w:b/>
          <w:color w:val="333333"/>
          <w:kern w:val="0"/>
          <w:sz w:val="32"/>
          <w:szCs w:val="32"/>
        </w:rPr>
      </w:pPr>
    </w:p>
    <w:p w14:paraId="1E22A818">
      <w:pPr>
        <w:rPr>
          <w:rFonts w:ascii="仿宋" w:hAnsi="仿宋" w:eastAsia="仿宋"/>
          <w:b/>
          <w:color w:val="333333"/>
          <w:kern w:val="0"/>
          <w:sz w:val="32"/>
          <w:szCs w:val="32"/>
        </w:rPr>
      </w:pPr>
      <w:r>
        <w:rPr>
          <w:rFonts w:hint="eastAsia" w:ascii="仿宋" w:hAnsi="仿宋" w:eastAsia="仿宋"/>
          <w:b/>
          <w:color w:val="333333"/>
          <w:kern w:val="0"/>
          <w:sz w:val="32"/>
          <w:szCs w:val="32"/>
        </w:rPr>
        <w:t>第一部分 部门</w:t>
      </w:r>
      <w:r>
        <w:rPr>
          <w:rFonts w:ascii="仿宋" w:hAnsi="仿宋" w:eastAsia="仿宋"/>
          <w:b/>
          <w:color w:val="333333"/>
          <w:kern w:val="0"/>
          <w:sz w:val="32"/>
          <w:szCs w:val="32"/>
        </w:rPr>
        <w:t>及单位</w:t>
      </w:r>
      <w:r>
        <w:rPr>
          <w:rFonts w:hint="eastAsia" w:ascii="仿宋" w:hAnsi="仿宋" w:eastAsia="仿宋"/>
          <w:b/>
          <w:color w:val="333333"/>
          <w:kern w:val="0"/>
          <w:sz w:val="32"/>
          <w:szCs w:val="32"/>
        </w:rPr>
        <w:t>概况</w:t>
      </w:r>
    </w:p>
    <w:p w14:paraId="3F477F7F">
      <w:pPr>
        <w:ind w:firstLine="800" w:firstLineChars="250"/>
        <w:rPr>
          <w:rFonts w:ascii="仿宋" w:hAnsi="仿宋" w:eastAsia="仿宋"/>
          <w:color w:val="333333"/>
          <w:kern w:val="0"/>
          <w:sz w:val="32"/>
          <w:szCs w:val="32"/>
        </w:rPr>
      </w:pPr>
      <w:r>
        <w:rPr>
          <w:rFonts w:hint="eastAsia" w:ascii="仿宋" w:hAnsi="仿宋" w:eastAsia="仿宋"/>
          <w:color w:val="333333"/>
          <w:kern w:val="0"/>
          <w:sz w:val="32"/>
          <w:szCs w:val="32"/>
        </w:rPr>
        <w:t>一、部门职责</w:t>
      </w:r>
    </w:p>
    <w:p w14:paraId="20033C6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6DB8A83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（二）中国共产党浑源县沙圪坨镇党委委领导沙圪坨镇全面工作。浑源县沙圪坨镇人民政府管理本辖区行政工作。</w:t>
      </w:r>
    </w:p>
    <w:p w14:paraId="6617056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（三）主要职责</w:t>
      </w:r>
    </w:p>
    <w:p w14:paraId="73E3D02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 xml:space="preserve">1、宣传贯彻执行党的路线方针政策和国家法律法规，落实上级党委、政府的各项决策部署，执行上级党组织的决议、决定和本乡党员代表大会（党员大会）的决议，保证上级安排的各项任务顺利完成。  </w:t>
      </w:r>
    </w:p>
    <w:p w14:paraId="431B224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2、讨论和决定本乡经济建设、政治建设、文化建设、社会建设、生态文明建设和党的建设以及乡村振兴的重大问题。</w:t>
      </w:r>
    </w:p>
    <w:p w14:paraId="34EF96FF">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执行本乡经济和社会发展计划、预算、管理本乡经济、教育、科学、文化、卫生健康、体育事业和财政、统计、民政、司法行政等行政工作。落实本乡经济发展战略总体规划和土地利用、产业发展等专项规划，组织发展区域特色经济，提供符合当地实际和群众需求的公共服务。</w:t>
      </w:r>
    </w:p>
    <w:p w14:paraId="27F4FF6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镇党委领导镇政权机关、群团组织和其他各类组织，加强指导和规范，支持和保证这些机关和组织依照国家法律法规以及各自章程履行职责。坚持党管武装的根本原则和制度，协调各方力量，对镇人民武装工作实行统一领导。</w:t>
      </w:r>
    </w:p>
    <w:p w14:paraId="246292B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加强镇党委自身建设和村党组织建设，以及其他隶属党委的党组织建设，抓好发展党员工作，加强党员队伍建设。履行党风廉政建设主体责任、维护和执行党的纪律，监督党员干部和其他任何工作人员严格遵守国家法律法规。</w:t>
      </w:r>
    </w:p>
    <w:p w14:paraId="7D1C9BE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6、按照干部管理权限，负责对干部的教育、培训、选拔、考核和监督工作。协助管理上级有关部门派驻的干部。做好人才服务和引进工作。</w:t>
      </w:r>
    </w:p>
    <w:p w14:paraId="055D00A5">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7、加强平安建设工作，依托村合理规划基本网格单元，统筹网格内各项工作，推进网格标准化建设、构建公共安全防控体系。加强法制宣传，调解民事纠纷，化解民村社会矛盾，维护民村社会稳定。加强对突发事件的预警和管理，做好应急管理、防灾减灾、生态环境保护、美丽乡村建设、民生保障、脱贫致富、民族宗教等工作。承担民兵预备役、征兵、退役军人服务、拥军优属等工作。</w:t>
      </w:r>
    </w:p>
    <w:p w14:paraId="061B7C0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8、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14:paraId="285CC01E">
      <w:pPr>
        <w:ind w:firstLine="640" w:firstLineChars="200"/>
        <w:rPr>
          <w:rFonts w:ascii="仿宋" w:hAnsi="仿宋" w:eastAsia="仿宋"/>
          <w:sz w:val="32"/>
          <w:szCs w:val="32"/>
        </w:rPr>
      </w:pPr>
      <w:r>
        <w:rPr>
          <w:rFonts w:hint="eastAsia" w:ascii="仿宋" w:hAnsi="仿宋" w:eastAsia="仿宋"/>
          <w:color w:val="333333"/>
          <w:kern w:val="0"/>
          <w:sz w:val="32"/>
          <w:szCs w:val="32"/>
        </w:rPr>
        <w:t>9、完成上级党委、政府交办的其他事项。</w:t>
      </w:r>
    </w:p>
    <w:p w14:paraId="11B77F8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二、机构设置</w:t>
      </w:r>
    </w:p>
    <w:p w14:paraId="0F407A1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党政机构设置</w:t>
      </w:r>
    </w:p>
    <w:p w14:paraId="3288718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（一）党政综合办公室</w:t>
      </w:r>
    </w:p>
    <w:p w14:paraId="004FCBC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负责镇党委、政府机关日常工作；负责人大、政协、武装部具体事务；负责协调纪检督察、组织、宣传、统战、机构编制、巡查、老干部和工会、团委、妇联等方面工作；负责财务、人事、保密、档案、固定资产管理和后勤服务。完成镇党委、政府和上级有关部门交办的其他任务。</w:t>
      </w:r>
    </w:p>
    <w:p w14:paraId="4A9A530A">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（二）经济发展办公室</w:t>
      </w:r>
    </w:p>
    <w:p w14:paraId="6FD89F9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镇党委、政府和上级有关部门交办的其他任务。</w:t>
      </w:r>
    </w:p>
    <w:p w14:paraId="19DE194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（三）社会事务办公室（挂平安建设办公室牌子）</w:t>
      </w:r>
    </w:p>
    <w:p w14:paraId="1BC319A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负责农村基层政权建设，指导村委会的民主选举、民主决策、民主管理和民主监督工作，指导村务公开，村帐镇管等工作；负责矛盾纠纷化解、特殊人群服务管理、公共安全风险防控、法制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14:paraId="2F65B5A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（四）规划建设办公室</w:t>
      </w:r>
    </w:p>
    <w:p w14:paraId="2CB3E04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负责组织编制镇总体规划和村庄规划，根据镇总体规划的要求，组织编制镇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镇党委、政府和上级有关部门交办的其他任务。</w:t>
      </w:r>
    </w:p>
    <w:p w14:paraId="79485FC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（五）综合行政执法办公室</w:t>
      </w:r>
    </w:p>
    <w:p w14:paraId="4947D24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镇党委、政府和上级有关部门交办的其他任务。</w:t>
      </w:r>
    </w:p>
    <w:p w14:paraId="325BC55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事业单位设置</w:t>
      </w:r>
    </w:p>
    <w:p w14:paraId="3B868E5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（一）党群服务中心</w:t>
      </w:r>
    </w:p>
    <w:p w14:paraId="4B4EF15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负责发挥服务党组织和党员群众的功能，开展宣传党的方针政策和理论知识、党务</w:t>
      </w:r>
      <w:r>
        <w:rPr>
          <w:rFonts w:hint="eastAsia" w:ascii="仿宋" w:hAnsi="仿宋" w:eastAsia="仿宋"/>
          <w:color w:val="333333"/>
          <w:kern w:val="0"/>
          <w:sz w:val="32"/>
          <w:szCs w:val="32"/>
          <w:lang w:eastAsia="zh-CN"/>
        </w:rPr>
        <w:t>政策咨询</w:t>
      </w:r>
      <w:r>
        <w:rPr>
          <w:rFonts w:hint="eastAsia" w:ascii="仿宋" w:hAnsi="仿宋" w:eastAsia="仿宋"/>
          <w:color w:val="333333"/>
          <w:kern w:val="0"/>
          <w:sz w:val="32"/>
          <w:szCs w:val="32"/>
        </w:rPr>
        <w:t>等活动。</w:t>
      </w:r>
    </w:p>
    <w:p w14:paraId="56B1F4D5">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（二）综合便民服务中心</w:t>
      </w:r>
    </w:p>
    <w:p w14:paraId="6601470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负责制定镇综合便民服务中心的管理制度并组织实施；结合实际设置基层来信来访、乡村建设、农业农村服务。</w:t>
      </w:r>
    </w:p>
    <w:p w14:paraId="29C083C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（三）退役军人服务保障工作站</w:t>
      </w:r>
    </w:p>
    <w:p w14:paraId="54C78BB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ab/>
      </w:r>
      <w:r>
        <w:rPr>
          <w:rFonts w:hint="eastAsia" w:ascii="仿宋" w:hAnsi="仿宋" w:eastAsia="仿宋"/>
          <w:color w:val="333333"/>
          <w:kern w:val="0"/>
          <w:sz w:val="32"/>
          <w:szCs w:val="32"/>
        </w:rPr>
        <w:t xml:space="preserve">    负责宣传贯彻有关退役军人法律、法规、政策，负责退役军人信访服务相关工作。</w:t>
      </w:r>
    </w:p>
    <w:p w14:paraId="50EF031E">
      <w:pPr>
        <w:rPr>
          <w:rFonts w:ascii="仿宋" w:hAnsi="仿宋" w:eastAsia="仿宋"/>
          <w:b/>
          <w:color w:val="333333"/>
          <w:kern w:val="0"/>
          <w:sz w:val="32"/>
          <w:szCs w:val="32"/>
        </w:rPr>
      </w:pPr>
      <w:r>
        <w:rPr>
          <w:rFonts w:hint="eastAsia" w:ascii="仿宋" w:hAnsi="仿宋" w:eastAsia="仿宋"/>
          <w:b/>
          <w:color w:val="333333"/>
          <w:kern w:val="0"/>
          <w:sz w:val="32"/>
          <w:szCs w:val="32"/>
        </w:rPr>
        <w:t>第二部分 2020年度部门决算公</w:t>
      </w:r>
      <w:r>
        <w:rPr>
          <w:rFonts w:ascii="仿宋" w:hAnsi="仿宋" w:eastAsia="仿宋"/>
          <w:b/>
          <w:color w:val="333333"/>
          <w:kern w:val="0"/>
          <w:sz w:val="32"/>
          <w:szCs w:val="32"/>
        </w:rPr>
        <w:t>开</w:t>
      </w:r>
      <w:r>
        <w:rPr>
          <w:rFonts w:hint="eastAsia" w:ascii="仿宋" w:hAnsi="仿宋" w:eastAsia="仿宋"/>
          <w:b/>
          <w:color w:val="333333"/>
          <w:kern w:val="0"/>
          <w:sz w:val="32"/>
          <w:szCs w:val="32"/>
        </w:rPr>
        <w:t>报表</w:t>
      </w:r>
    </w:p>
    <w:p w14:paraId="328F59D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表一：GK01 收入支出决算总表(公开01表)</w:t>
      </w:r>
    </w:p>
    <w:p w14:paraId="78F8C93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表二：GK02 收入决算表(公开02表)</w:t>
      </w:r>
    </w:p>
    <w:p w14:paraId="131C13EA">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表三：GK03 支出决算表(公开03表)</w:t>
      </w:r>
    </w:p>
    <w:p w14:paraId="1A159E4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表四：GK04 财政拨款收入支出决算总表(公开04表)</w:t>
      </w:r>
    </w:p>
    <w:p w14:paraId="7DD907F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表五：GK05 一般公共预算财政拨款支出决算表（一）(公开05表)</w:t>
      </w:r>
    </w:p>
    <w:p w14:paraId="7A3915D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表六：GK06 一般公共预算财政拨款支出决算表（二）(公开06表)</w:t>
      </w:r>
    </w:p>
    <w:p w14:paraId="116FE13A">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表七：GK07 一般公共预算财政拨款“三公”经费支出决算表(公开07)</w:t>
      </w:r>
    </w:p>
    <w:p w14:paraId="657D458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表八：GK08 政府性基金预算财政拨款收入支出决算表(公开08表)</w:t>
      </w:r>
    </w:p>
    <w:p w14:paraId="6A9F868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表九：GK09 国有资本经营预算财政拨款支出决算表(公开09表)</w:t>
      </w:r>
    </w:p>
    <w:p w14:paraId="1E5B33C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表</w:t>
      </w:r>
      <w:r>
        <w:rPr>
          <w:rFonts w:ascii="仿宋" w:hAnsi="仿宋" w:eastAsia="仿宋"/>
          <w:color w:val="333333"/>
          <w:kern w:val="0"/>
          <w:sz w:val="32"/>
          <w:szCs w:val="32"/>
        </w:rPr>
        <w:t>十：</w:t>
      </w:r>
      <w:r>
        <w:rPr>
          <w:rFonts w:hint="eastAsia" w:ascii="仿宋" w:hAnsi="仿宋" w:eastAsia="仿宋"/>
          <w:color w:val="333333"/>
          <w:kern w:val="0"/>
          <w:sz w:val="32"/>
          <w:szCs w:val="32"/>
        </w:rPr>
        <w:t>GK10 部门决算公开相关信息统计表(公开10表)</w:t>
      </w:r>
    </w:p>
    <w:p w14:paraId="4F058476">
      <w:pPr>
        <w:rPr>
          <w:rFonts w:ascii="仿宋" w:hAnsi="仿宋" w:eastAsia="仿宋"/>
          <w:b/>
          <w:color w:val="333333"/>
          <w:kern w:val="0"/>
          <w:sz w:val="32"/>
          <w:szCs w:val="32"/>
        </w:rPr>
      </w:pPr>
      <w:r>
        <w:rPr>
          <w:rFonts w:hint="eastAsia" w:ascii="仿宋" w:hAnsi="仿宋" w:eastAsia="仿宋"/>
          <w:b/>
          <w:color w:val="333333"/>
          <w:kern w:val="0"/>
          <w:sz w:val="32"/>
          <w:szCs w:val="32"/>
        </w:rPr>
        <w:t>第三部分 2020年度部门决算情况说明</w:t>
      </w:r>
    </w:p>
    <w:p w14:paraId="7A9C4D7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一、决算收入情况</w:t>
      </w:r>
    </w:p>
    <w:p w14:paraId="3BDC5E6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w:t>
      </w:r>
      <w:r>
        <w:rPr>
          <w:rFonts w:hint="eastAsia" w:ascii="仿宋" w:hAnsi="仿宋" w:eastAsia="仿宋"/>
          <w:color w:val="333333"/>
          <w:kern w:val="0"/>
          <w:sz w:val="32"/>
          <w:szCs w:val="32"/>
        </w:rPr>
        <w:t>本</w:t>
      </w:r>
      <w:r>
        <w:rPr>
          <w:rFonts w:ascii="仿宋" w:hAnsi="仿宋" w:eastAsia="仿宋"/>
          <w:color w:val="333333"/>
          <w:kern w:val="0"/>
          <w:sz w:val="32"/>
          <w:szCs w:val="32"/>
        </w:rPr>
        <w:t>年度</w:t>
      </w:r>
      <w:r>
        <w:rPr>
          <w:rFonts w:hint="eastAsia" w:ascii="仿宋" w:hAnsi="仿宋" w:eastAsia="仿宋"/>
          <w:color w:val="333333"/>
          <w:kern w:val="0"/>
          <w:sz w:val="32"/>
          <w:szCs w:val="32"/>
        </w:rPr>
        <w:t>总</w:t>
      </w:r>
      <w:r>
        <w:rPr>
          <w:rFonts w:ascii="仿宋" w:hAnsi="仿宋" w:eastAsia="仿宋"/>
          <w:color w:val="333333"/>
          <w:kern w:val="0"/>
          <w:sz w:val="32"/>
          <w:szCs w:val="32"/>
        </w:rPr>
        <w:t>收入为1603.15</w:t>
      </w:r>
      <w:r>
        <w:rPr>
          <w:rFonts w:hint="eastAsia" w:ascii="仿宋" w:hAnsi="仿宋" w:eastAsia="仿宋"/>
          <w:color w:val="333333"/>
          <w:kern w:val="0"/>
          <w:sz w:val="32"/>
          <w:szCs w:val="32"/>
        </w:rPr>
        <w:t>万元</w:t>
      </w:r>
      <w:r>
        <w:rPr>
          <w:rFonts w:ascii="仿宋" w:hAnsi="仿宋" w:eastAsia="仿宋"/>
          <w:color w:val="333333"/>
          <w:kern w:val="0"/>
          <w:sz w:val="32"/>
          <w:szCs w:val="32"/>
        </w:rPr>
        <w:t>，</w:t>
      </w:r>
      <w:r>
        <w:rPr>
          <w:rFonts w:hint="eastAsia" w:ascii="仿宋" w:hAnsi="仿宋" w:eastAsia="仿宋"/>
          <w:color w:val="333333"/>
          <w:kern w:val="0"/>
          <w:sz w:val="32"/>
          <w:szCs w:val="32"/>
        </w:rPr>
        <w:t>上</w:t>
      </w:r>
      <w:r>
        <w:rPr>
          <w:rFonts w:ascii="仿宋" w:hAnsi="仿宋" w:eastAsia="仿宋"/>
          <w:color w:val="333333"/>
          <w:kern w:val="0"/>
          <w:sz w:val="32"/>
          <w:szCs w:val="32"/>
        </w:rPr>
        <w:t>年度总收入为3328.04</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-51.83</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中：一般公共预算财政拨款本年度收入为1603.15</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年度收入为1253.49</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27.89</w:t>
      </w:r>
      <w:r>
        <w:rPr>
          <w:rFonts w:hint="eastAsia" w:ascii="仿宋" w:hAnsi="仿宋" w:eastAsia="仿宋"/>
          <w:color w:val="333333"/>
          <w:kern w:val="0"/>
          <w:sz w:val="32"/>
          <w:szCs w:val="32"/>
        </w:rPr>
        <w:t xml:space="preserve"> %；政府</w:t>
      </w:r>
      <w:r>
        <w:rPr>
          <w:rFonts w:ascii="仿宋" w:hAnsi="仿宋" w:eastAsia="仿宋"/>
          <w:color w:val="333333"/>
          <w:kern w:val="0"/>
          <w:sz w:val="32"/>
          <w:szCs w:val="32"/>
        </w:rPr>
        <w:t>性基金预算财政拨款本年度收入为0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年度收入为2074.55</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-100</w:t>
      </w:r>
      <w:r>
        <w:rPr>
          <w:rFonts w:hint="eastAsia" w:ascii="仿宋" w:hAnsi="仿宋" w:eastAsia="仿宋"/>
          <w:color w:val="333333"/>
          <w:kern w:val="0"/>
          <w:sz w:val="32"/>
          <w:szCs w:val="32"/>
        </w:rPr>
        <w:t xml:space="preserve"> %；事</w:t>
      </w:r>
      <w:r>
        <w:rPr>
          <w:rFonts w:ascii="仿宋" w:hAnsi="仿宋" w:eastAsia="仿宋"/>
          <w:color w:val="333333"/>
          <w:kern w:val="0"/>
          <w:sz w:val="32"/>
          <w:szCs w:val="32"/>
        </w:rPr>
        <w:t>业收入本年度收入为0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他收入本年度收入为0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w:t>
      </w:r>
    </w:p>
    <w:p w14:paraId="0A6B864F">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二、决算支出情况</w:t>
      </w:r>
    </w:p>
    <w:p w14:paraId="0E902B3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单位本年度总支出为1603.32</w:t>
      </w:r>
      <w:r>
        <w:rPr>
          <w:rFonts w:hint="eastAsia" w:ascii="仿宋" w:hAnsi="仿宋" w:eastAsia="仿宋"/>
          <w:color w:val="333333"/>
          <w:kern w:val="0"/>
          <w:sz w:val="32"/>
          <w:szCs w:val="32"/>
        </w:rPr>
        <w:t>万</w:t>
      </w:r>
      <w:r>
        <w:rPr>
          <w:rFonts w:ascii="仿宋" w:hAnsi="仿宋" w:eastAsia="仿宋"/>
          <w:color w:val="333333"/>
          <w:kern w:val="0"/>
          <w:sz w:val="32"/>
          <w:szCs w:val="32"/>
        </w:rPr>
        <w:t>元，上年度总支出为3331.68</w:t>
      </w:r>
      <w:r>
        <w:rPr>
          <w:rFonts w:hint="eastAsia" w:ascii="仿宋" w:hAnsi="仿宋" w:eastAsia="仿宋"/>
          <w:color w:val="333333"/>
          <w:kern w:val="0"/>
          <w:sz w:val="32"/>
          <w:szCs w:val="32"/>
        </w:rPr>
        <w:t>万元</w:t>
      </w:r>
      <w:r>
        <w:rPr>
          <w:rFonts w:ascii="仿宋" w:hAnsi="仿宋" w:eastAsia="仿宋"/>
          <w:color w:val="333333"/>
          <w:kern w:val="0"/>
          <w:sz w:val="32"/>
          <w:szCs w:val="32"/>
        </w:rPr>
        <w:t>，增减-51.88</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基</w:t>
      </w:r>
      <w:r>
        <w:rPr>
          <w:rFonts w:ascii="仿宋" w:hAnsi="仿宋" w:eastAsia="仿宋"/>
          <w:color w:val="333333"/>
          <w:kern w:val="0"/>
          <w:sz w:val="32"/>
          <w:szCs w:val="32"/>
        </w:rPr>
        <w:t>本支出本年度支出为541.25</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年度支出为489.15</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10.65</w:t>
      </w:r>
      <w:r>
        <w:rPr>
          <w:rFonts w:hint="eastAsia" w:ascii="仿宋" w:hAnsi="仿宋" w:eastAsia="仿宋"/>
          <w:color w:val="333333"/>
          <w:kern w:val="0"/>
          <w:sz w:val="32"/>
          <w:szCs w:val="32"/>
        </w:rPr>
        <w:t xml:space="preserve"> %；项目</w:t>
      </w:r>
      <w:r>
        <w:rPr>
          <w:rFonts w:ascii="仿宋" w:hAnsi="仿宋" w:eastAsia="仿宋"/>
          <w:color w:val="333333"/>
          <w:kern w:val="0"/>
          <w:sz w:val="32"/>
          <w:szCs w:val="32"/>
        </w:rPr>
        <w:t>支出本年度支出为1062.07</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年度支出为2842.53</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-62.64</w:t>
      </w:r>
      <w:r>
        <w:rPr>
          <w:rFonts w:hint="eastAsia" w:ascii="仿宋" w:hAnsi="仿宋" w:eastAsia="仿宋"/>
          <w:color w:val="333333"/>
          <w:kern w:val="0"/>
          <w:sz w:val="32"/>
          <w:szCs w:val="32"/>
        </w:rPr>
        <w:t xml:space="preserve"> %。</w:t>
      </w:r>
    </w:p>
    <w:p w14:paraId="39CD432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三、“三公”经费情况</w:t>
      </w:r>
    </w:p>
    <w:p w14:paraId="3DD202B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“三公”经费总</w:t>
      </w:r>
      <w:r>
        <w:rPr>
          <w:rFonts w:ascii="仿宋" w:hAnsi="仿宋" w:eastAsia="仿宋"/>
          <w:color w:val="333333"/>
          <w:kern w:val="0"/>
          <w:sz w:val="32"/>
          <w:szCs w:val="32"/>
        </w:rPr>
        <w:t>支出为3.1</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年度支出为3.55</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-12.53</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因</w:t>
      </w:r>
      <w:r>
        <w:rPr>
          <w:rFonts w:ascii="仿宋" w:hAnsi="仿宋" w:eastAsia="仿宋"/>
          <w:color w:val="333333"/>
          <w:kern w:val="0"/>
          <w:sz w:val="32"/>
          <w:szCs w:val="32"/>
        </w:rPr>
        <w:t>公出国</w:t>
      </w:r>
      <w:r>
        <w:rPr>
          <w:rFonts w:hint="eastAsia" w:ascii="仿宋" w:hAnsi="仿宋" w:eastAsia="仿宋"/>
          <w:color w:val="333333"/>
          <w:kern w:val="0"/>
          <w:sz w:val="32"/>
          <w:szCs w:val="32"/>
        </w:rPr>
        <w:t>（</w:t>
      </w:r>
      <w:r>
        <w:rPr>
          <w:rFonts w:ascii="仿宋" w:hAnsi="仿宋" w:eastAsia="仿宋"/>
          <w:color w:val="333333"/>
          <w:kern w:val="0"/>
          <w:sz w:val="32"/>
          <w:szCs w:val="32"/>
        </w:rPr>
        <w:t>境）费</w:t>
      </w:r>
      <w:r>
        <w:rPr>
          <w:rFonts w:hint="eastAsia" w:ascii="仿宋" w:hAnsi="仿宋" w:eastAsia="仿宋"/>
          <w:color w:val="333333"/>
          <w:kern w:val="0"/>
          <w:sz w:val="32"/>
          <w:szCs w:val="32"/>
        </w:rPr>
        <w:t>本</w:t>
      </w:r>
      <w:r>
        <w:rPr>
          <w:rFonts w:ascii="仿宋" w:hAnsi="仿宋" w:eastAsia="仿宋"/>
          <w:color w:val="333333"/>
          <w:kern w:val="0"/>
          <w:sz w:val="32"/>
          <w:szCs w:val="32"/>
        </w:rPr>
        <w:t>年度支出0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%；公务用车购置及运行维护费支</w:t>
      </w:r>
      <w:r>
        <w:rPr>
          <w:rFonts w:ascii="仿宋" w:hAnsi="仿宋" w:eastAsia="仿宋"/>
          <w:color w:val="333333"/>
          <w:kern w:val="0"/>
          <w:sz w:val="32"/>
          <w:szCs w:val="32"/>
        </w:rPr>
        <w:t>出为3.1</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年度支出为3.55</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-12.53</w:t>
      </w:r>
      <w:r>
        <w:rPr>
          <w:rFonts w:hint="eastAsia" w:ascii="仿宋" w:hAnsi="仿宋" w:eastAsia="仿宋"/>
          <w:color w:val="333333"/>
          <w:kern w:val="0"/>
          <w:sz w:val="32"/>
          <w:szCs w:val="32"/>
        </w:rPr>
        <w:t xml:space="preserve"> %；公</w:t>
      </w:r>
      <w:r>
        <w:rPr>
          <w:rFonts w:ascii="仿宋" w:hAnsi="仿宋" w:eastAsia="仿宋"/>
          <w:color w:val="333333"/>
          <w:kern w:val="0"/>
          <w:sz w:val="32"/>
          <w:szCs w:val="32"/>
        </w:rPr>
        <w:t>务接待费</w:t>
      </w:r>
      <w:r>
        <w:rPr>
          <w:rFonts w:hint="eastAsia" w:ascii="仿宋" w:hAnsi="仿宋" w:eastAsia="仿宋"/>
          <w:color w:val="333333"/>
          <w:kern w:val="0"/>
          <w:sz w:val="32"/>
          <w:szCs w:val="32"/>
        </w:rPr>
        <w:t>支</w:t>
      </w:r>
      <w:r>
        <w:rPr>
          <w:rFonts w:ascii="仿宋" w:hAnsi="仿宋" w:eastAsia="仿宋"/>
          <w:color w:val="333333"/>
          <w:kern w:val="0"/>
          <w:sz w:val="32"/>
          <w:szCs w:val="32"/>
        </w:rPr>
        <w:t>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w:t>
      </w:r>
    </w:p>
    <w:p w14:paraId="73ABA8BB">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四、机关运行经费情况</w:t>
      </w:r>
    </w:p>
    <w:p w14:paraId="18DA10A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机关运行经费总</w:t>
      </w:r>
      <w:r>
        <w:rPr>
          <w:rFonts w:ascii="仿宋" w:hAnsi="仿宋" w:eastAsia="仿宋"/>
          <w:color w:val="333333"/>
          <w:kern w:val="0"/>
          <w:sz w:val="32"/>
          <w:szCs w:val="32"/>
        </w:rPr>
        <w:t>支出为49.38</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年度支出为35.69</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38.37</w:t>
      </w:r>
      <w:r>
        <w:rPr>
          <w:rFonts w:hint="eastAsia" w:ascii="仿宋" w:hAnsi="仿宋" w:eastAsia="仿宋"/>
          <w:color w:val="333333"/>
          <w:kern w:val="0"/>
          <w:sz w:val="32"/>
          <w:szCs w:val="32"/>
        </w:rPr>
        <w:t xml:space="preserve"> %；主</w:t>
      </w:r>
      <w:r>
        <w:rPr>
          <w:rFonts w:ascii="仿宋" w:hAnsi="仿宋" w:eastAsia="仿宋"/>
          <w:color w:val="333333"/>
          <w:kern w:val="0"/>
          <w:sz w:val="32"/>
          <w:szCs w:val="32"/>
        </w:rPr>
        <w:t>要为日常办公费、水电、</w:t>
      </w:r>
      <w:r>
        <w:rPr>
          <w:rFonts w:hint="eastAsia" w:ascii="仿宋" w:hAnsi="仿宋" w:eastAsia="仿宋"/>
          <w:color w:val="333333"/>
          <w:kern w:val="0"/>
          <w:sz w:val="32"/>
          <w:szCs w:val="32"/>
        </w:rPr>
        <w:t>差旅</w:t>
      </w:r>
      <w:r>
        <w:rPr>
          <w:rFonts w:ascii="仿宋" w:hAnsi="仿宋" w:eastAsia="仿宋"/>
          <w:color w:val="333333"/>
          <w:kern w:val="0"/>
          <w:sz w:val="32"/>
          <w:szCs w:val="32"/>
        </w:rPr>
        <w:t>、</w:t>
      </w:r>
      <w:r>
        <w:rPr>
          <w:rFonts w:hint="eastAsia" w:ascii="仿宋" w:hAnsi="仿宋" w:eastAsia="仿宋"/>
          <w:color w:val="333333"/>
          <w:kern w:val="0"/>
          <w:sz w:val="32"/>
          <w:szCs w:val="32"/>
        </w:rPr>
        <w:t>印</w:t>
      </w:r>
      <w:r>
        <w:rPr>
          <w:rFonts w:ascii="仿宋" w:hAnsi="仿宋" w:eastAsia="仿宋"/>
          <w:color w:val="333333"/>
          <w:kern w:val="0"/>
          <w:sz w:val="32"/>
          <w:szCs w:val="32"/>
        </w:rPr>
        <w:t>刷</w:t>
      </w:r>
      <w:r>
        <w:rPr>
          <w:rFonts w:hint="eastAsia" w:ascii="仿宋" w:hAnsi="仿宋" w:eastAsia="仿宋"/>
          <w:color w:val="333333"/>
          <w:kern w:val="0"/>
          <w:sz w:val="32"/>
          <w:szCs w:val="32"/>
        </w:rPr>
        <w:t>、委托</w:t>
      </w:r>
      <w:r>
        <w:rPr>
          <w:rFonts w:ascii="仿宋" w:hAnsi="仿宋" w:eastAsia="仿宋"/>
          <w:color w:val="333333"/>
          <w:kern w:val="0"/>
          <w:sz w:val="32"/>
          <w:szCs w:val="32"/>
        </w:rPr>
        <w:t>业务</w:t>
      </w:r>
      <w:r>
        <w:rPr>
          <w:rFonts w:hint="eastAsia" w:ascii="仿宋" w:hAnsi="仿宋" w:eastAsia="仿宋"/>
          <w:color w:val="333333"/>
          <w:kern w:val="0"/>
          <w:sz w:val="32"/>
          <w:szCs w:val="32"/>
        </w:rPr>
        <w:t>费等</w:t>
      </w:r>
      <w:r>
        <w:rPr>
          <w:rFonts w:ascii="仿宋" w:hAnsi="仿宋" w:eastAsia="仿宋"/>
          <w:color w:val="333333"/>
          <w:kern w:val="0"/>
          <w:sz w:val="32"/>
          <w:szCs w:val="32"/>
        </w:rPr>
        <w:t>费用。</w:t>
      </w:r>
    </w:p>
    <w:p w14:paraId="7B75A47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五、政府决算采购情况说明</w:t>
      </w:r>
    </w:p>
    <w:p w14:paraId="66B12E8F">
      <w:pPr>
        <w:ind w:firstLine="640" w:firstLineChars="200"/>
        <w:rPr>
          <w:rFonts w:hint="eastAsia"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政府</w:t>
      </w:r>
      <w:r>
        <w:rPr>
          <w:rFonts w:ascii="仿宋" w:hAnsi="仿宋" w:eastAsia="仿宋"/>
          <w:color w:val="333333"/>
          <w:kern w:val="0"/>
          <w:sz w:val="32"/>
          <w:szCs w:val="32"/>
        </w:rPr>
        <w:t>采购总价为1.79</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，其</w:t>
      </w:r>
      <w:r>
        <w:rPr>
          <w:rFonts w:ascii="仿宋" w:hAnsi="仿宋" w:eastAsia="仿宋"/>
          <w:color w:val="333333"/>
          <w:kern w:val="0"/>
          <w:sz w:val="32"/>
          <w:szCs w:val="32"/>
        </w:rPr>
        <w:t>中：</w:t>
      </w:r>
      <w:r>
        <w:rPr>
          <w:rFonts w:hint="eastAsia" w:ascii="仿宋" w:hAnsi="仿宋" w:eastAsia="仿宋"/>
          <w:color w:val="333333"/>
          <w:kern w:val="0"/>
          <w:sz w:val="32"/>
          <w:szCs w:val="32"/>
        </w:rPr>
        <w:t>货</w:t>
      </w:r>
      <w:r>
        <w:rPr>
          <w:rFonts w:ascii="仿宋" w:hAnsi="仿宋" w:eastAsia="仿宋"/>
          <w:color w:val="333333"/>
          <w:kern w:val="0"/>
          <w:sz w:val="32"/>
          <w:szCs w:val="32"/>
        </w:rPr>
        <w:t>物采购1.79</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工程</w:t>
      </w:r>
      <w:r>
        <w:rPr>
          <w:rFonts w:hint="eastAsia" w:ascii="仿宋" w:hAnsi="仿宋" w:eastAsia="仿宋"/>
          <w:color w:val="333333"/>
          <w:kern w:val="0"/>
          <w:sz w:val="32"/>
          <w:szCs w:val="32"/>
        </w:rPr>
        <w:t>采</w:t>
      </w:r>
      <w:r>
        <w:rPr>
          <w:rFonts w:ascii="仿宋" w:hAnsi="仿宋" w:eastAsia="仿宋"/>
          <w:color w:val="333333"/>
          <w:kern w:val="0"/>
          <w:sz w:val="32"/>
          <w:szCs w:val="32"/>
        </w:rPr>
        <w:t>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，服务</w:t>
      </w:r>
      <w:r>
        <w:rPr>
          <w:rFonts w:ascii="仿宋" w:hAnsi="仿宋" w:eastAsia="仿宋"/>
          <w:color w:val="333333"/>
          <w:kern w:val="0"/>
          <w:sz w:val="32"/>
          <w:szCs w:val="32"/>
        </w:rPr>
        <w:t>采购0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p>
    <w:p w14:paraId="247E3BBA">
      <w:pPr>
        <w:numPr>
          <w:ilvl w:val="0"/>
          <w:numId w:val="1"/>
        </w:num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国有资产占有使用情况</w:t>
      </w:r>
    </w:p>
    <w:p w14:paraId="2E52A7C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（1）房屋情况</w:t>
      </w:r>
    </w:p>
    <w:p w14:paraId="64816D3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截止2020年12月31日，</w:t>
      </w:r>
      <w:r>
        <w:rPr>
          <w:rFonts w:ascii="仿宋" w:hAnsi="仿宋" w:eastAsia="仿宋"/>
          <w:color w:val="333333"/>
          <w:kern w:val="0"/>
          <w:sz w:val="32"/>
          <w:szCs w:val="32"/>
        </w:rPr>
        <w:t xml:space="preserve"> </w:t>
      </w:r>
      <w:r>
        <w:rPr>
          <w:rFonts w:hint="eastAsia" w:ascii="仿宋" w:hAnsi="仿宋" w:eastAsia="仿宋"/>
          <w:color w:val="333333"/>
          <w:kern w:val="0"/>
          <w:sz w:val="32"/>
          <w:szCs w:val="32"/>
        </w:rPr>
        <w:t>我</w:t>
      </w:r>
      <w:r>
        <w:rPr>
          <w:rFonts w:ascii="仿宋" w:hAnsi="仿宋" w:eastAsia="仿宋"/>
          <w:color w:val="333333"/>
          <w:kern w:val="0"/>
          <w:sz w:val="32"/>
          <w:szCs w:val="32"/>
        </w:rPr>
        <w:t>单位</w:t>
      </w:r>
      <w:r>
        <w:rPr>
          <w:rFonts w:hint="eastAsia" w:ascii="仿宋" w:hAnsi="仿宋" w:eastAsia="仿宋"/>
          <w:color w:val="333333"/>
          <w:kern w:val="0"/>
          <w:sz w:val="32"/>
          <w:szCs w:val="32"/>
        </w:rPr>
        <w:t>产</w:t>
      </w:r>
      <w:r>
        <w:rPr>
          <w:rFonts w:ascii="仿宋" w:hAnsi="仿宋" w:eastAsia="仿宋"/>
          <w:color w:val="333333"/>
          <w:kern w:val="0"/>
          <w:sz w:val="32"/>
          <w:szCs w:val="32"/>
        </w:rPr>
        <w:t>权房屋面积为3607</w:t>
      </w:r>
      <w:r>
        <w:rPr>
          <w:rFonts w:hint="eastAsia" w:ascii="仿宋" w:hAnsi="仿宋" w:eastAsia="仿宋"/>
          <w:color w:val="333333"/>
          <w:kern w:val="0"/>
          <w:sz w:val="32"/>
          <w:szCs w:val="32"/>
        </w:rPr>
        <w:t>平</w:t>
      </w:r>
      <w:r>
        <w:rPr>
          <w:rFonts w:ascii="仿宋" w:hAnsi="仿宋" w:eastAsia="仿宋"/>
          <w:color w:val="333333"/>
          <w:kern w:val="0"/>
          <w:sz w:val="32"/>
          <w:szCs w:val="32"/>
        </w:rPr>
        <w:t>方米，</w:t>
      </w:r>
      <w:r>
        <w:rPr>
          <w:rFonts w:hint="eastAsia" w:ascii="仿宋" w:hAnsi="仿宋" w:eastAsia="仿宋"/>
          <w:color w:val="333333"/>
          <w:kern w:val="0"/>
          <w:sz w:val="32"/>
          <w:szCs w:val="32"/>
        </w:rPr>
        <w:t>价值</w:t>
      </w:r>
      <w:r>
        <w:rPr>
          <w:rFonts w:ascii="仿宋" w:hAnsi="仿宋" w:eastAsia="仿宋"/>
          <w:color w:val="333333"/>
          <w:kern w:val="0"/>
          <w:sz w:val="32"/>
          <w:szCs w:val="32"/>
        </w:rPr>
        <w:t>366.18万元。</w:t>
      </w:r>
    </w:p>
    <w:p w14:paraId="60B66F2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（2）车辆情况</w:t>
      </w:r>
    </w:p>
    <w:p w14:paraId="58AC3EDF">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 xml:space="preserve"> 单位账</w:t>
      </w:r>
      <w:r>
        <w:rPr>
          <w:rFonts w:ascii="仿宋" w:hAnsi="仿宋" w:eastAsia="仿宋"/>
          <w:color w:val="333333"/>
          <w:kern w:val="0"/>
          <w:sz w:val="32"/>
          <w:szCs w:val="32"/>
        </w:rPr>
        <w:t>面车辆为0</w:t>
      </w:r>
      <w:r>
        <w:rPr>
          <w:rFonts w:hint="eastAsia" w:ascii="仿宋" w:hAnsi="仿宋" w:eastAsia="仿宋"/>
          <w:color w:val="333333"/>
          <w:kern w:val="0"/>
          <w:sz w:val="32"/>
          <w:szCs w:val="32"/>
        </w:rPr>
        <w:t>辆</w:t>
      </w:r>
      <w:r>
        <w:rPr>
          <w:rFonts w:ascii="仿宋" w:hAnsi="仿宋" w:eastAsia="仿宋"/>
          <w:color w:val="333333"/>
          <w:kern w:val="0"/>
          <w:sz w:val="32"/>
          <w:szCs w:val="32"/>
        </w:rPr>
        <w:t>，价值0</w:t>
      </w:r>
      <w:r>
        <w:rPr>
          <w:rFonts w:hint="eastAsia" w:ascii="仿宋" w:hAnsi="仿宋" w:eastAsia="仿宋"/>
          <w:color w:val="333333"/>
          <w:kern w:val="0"/>
          <w:sz w:val="32"/>
          <w:szCs w:val="32"/>
        </w:rPr>
        <w:t>万元</w:t>
      </w:r>
      <w:r>
        <w:rPr>
          <w:rFonts w:ascii="仿宋" w:hAnsi="仿宋" w:eastAsia="仿宋"/>
          <w:color w:val="333333"/>
          <w:kern w:val="0"/>
          <w:sz w:val="32"/>
          <w:szCs w:val="32"/>
        </w:rPr>
        <w:t>。</w:t>
      </w:r>
    </w:p>
    <w:p w14:paraId="131D513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七、绩效情况说明</w:t>
      </w:r>
    </w:p>
    <w:p w14:paraId="66DFBEC0">
      <w:pPr>
        <w:ind w:left="210" w:leftChars="100"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2020年度，本单位实行绩效目标管理的项目8个。</w:t>
      </w:r>
    </w:p>
    <w:p w14:paraId="70ABB99B">
      <w:pPr>
        <w:ind w:firstLine="640" w:firstLineChars="200"/>
        <w:rPr>
          <w:rFonts w:ascii="仿宋" w:hAnsi="仿宋" w:eastAsia="仿宋"/>
          <w:sz w:val="32"/>
          <w:szCs w:val="32"/>
        </w:rPr>
      </w:pPr>
    </w:p>
    <w:p w14:paraId="450412C3">
      <w:pPr>
        <w:ind w:firstLine="640" w:firstLineChars="200"/>
        <w:rPr>
          <w:rFonts w:ascii="仿宋" w:hAnsi="仿宋" w:eastAsia="仿宋"/>
          <w:sz w:val="32"/>
          <w:szCs w:val="32"/>
        </w:rPr>
      </w:pPr>
    </w:p>
    <w:p w14:paraId="5EA177DC">
      <w:pPr>
        <w:ind w:left="4740" w:leftChars="200" w:hanging="4320" w:hangingChars="1350"/>
        <w:rPr>
          <w:rFonts w:ascii="仿宋" w:hAnsi="仿宋" w:eastAsia="仿宋"/>
          <w:sz w:val="32"/>
          <w:szCs w:val="32"/>
        </w:rPr>
        <w:sectPr>
          <w:type w:val="continuous"/>
          <w:pgSz w:w="11906" w:h="16838"/>
          <w:pgMar w:top="1440" w:right="1800" w:bottom="1440" w:left="1800" w:header="851" w:footer="992" w:gutter="0"/>
          <w:pgNumType w:start="1"/>
          <w:cols w:space="425" w:num="1"/>
          <w:docGrid w:type="lines" w:linePitch="312" w:charSpace="0"/>
        </w:sectPr>
      </w:pPr>
      <w:r>
        <w:rPr>
          <w:rFonts w:hint="eastAsia" w:ascii="仿宋" w:hAnsi="仿宋" w:eastAsia="仿宋"/>
          <w:sz w:val="32"/>
          <w:szCs w:val="32"/>
        </w:rPr>
        <w:t xml:space="preserve">         </w:t>
      </w:r>
      <w:r>
        <w:rPr>
          <w:rFonts w:ascii="仿宋" w:hAnsi="仿宋" w:eastAsia="仿宋"/>
          <w:sz w:val="32"/>
          <w:szCs w:val="32"/>
        </w:rPr>
        <w:t xml:space="preserve">                                                202</w:t>
      </w:r>
      <w:r>
        <w:rPr>
          <w:rFonts w:hint="eastAsia" w:ascii="仿宋" w:hAnsi="仿宋" w:eastAsia="仿宋"/>
          <w:sz w:val="32"/>
          <w:szCs w:val="32"/>
        </w:rPr>
        <w:t>1年8月</w:t>
      </w:r>
      <w:r>
        <w:rPr>
          <w:rFonts w:ascii="仿宋" w:hAnsi="仿宋" w:eastAsia="仿宋"/>
          <w:sz w:val="32"/>
          <w:szCs w:val="32"/>
        </w:rPr>
        <w:t>9</w:t>
      </w:r>
      <w:r>
        <w:rPr>
          <w:rFonts w:hint="eastAsia" w:ascii="仿宋" w:hAnsi="仿宋" w:eastAsia="仿宋"/>
          <w:sz w:val="32"/>
          <w:szCs w:val="32"/>
        </w:rPr>
        <w:t>日</w:t>
      </w:r>
    </w:p>
    <w:p w14:paraId="18C69913"/>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44C218"/>
    <w:multiLevelType w:val="singleLevel"/>
    <w:tmpl w:val="9944C218"/>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85809"/>
    <w:rsid w:val="0001763B"/>
    <w:rsid w:val="00023075"/>
    <w:rsid w:val="000312C8"/>
    <w:rsid w:val="00053CFC"/>
    <w:rsid w:val="000823E4"/>
    <w:rsid w:val="000C7DA3"/>
    <w:rsid w:val="000E3A02"/>
    <w:rsid w:val="000F431B"/>
    <w:rsid w:val="0012759D"/>
    <w:rsid w:val="001755AA"/>
    <w:rsid w:val="00187199"/>
    <w:rsid w:val="00233D19"/>
    <w:rsid w:val="002C018A"/>
    <w:rsid w:val="002E0A76"/>
    <w:rsid w:val="002F4FD3"/>
    <w:rsid w:val="00305655"/>
    <w:rsid w:val="0034142D"/>
    <w:rsid w:val="003B3919"/>
    <w:rsid w:val="003E7E1A"/>
    <w:rsid w:val="00402F64"/>
    <w:rsid w:val="00461C82"/>
    <w:rsid w:val="00470500"/>
    <w:rsid w:val="004A715E"/>
    <w:rsid w:val="004B1E33"/>
    <w:rsid w:val="004C2177"/>
    <w:rsid w:val="004C52F9"/>
    <w:rsid w:val="004D1B3A"/>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25E19"/>
    <w:rsid w:val="0078226E"/>
    <w:rsid w:val="007B04B6"/>
    <w:rsid w:val="007B4808"/>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5E6B"/>
    <w:rsid w:val="00D21EBC"/>
    <w:rsid w:val="00DB2608"/>
    <w:rsid w:val="00DE144A"/>
    <w:rsid w:val="00E02F79"/>
    <w:rsid w:val="00E13B22"/>
    <w:rsid w:val="00E47B7C"/>
    <w:rsid w:val="00E47D80"/>
    <w:rsid w:val="00FB5C0F"/>
    <w:rsid w:val="07D562E8"/>
    <w:rsid w:val="0FF201F7"/>
    <w:rsid w:val="22F4297F"/>
    <w:rsid w:val="31C76464"/>
    <w:rsid w:val="323323E4"/>
    <w:rsid w:val="60DA0C67"/>
    <w:rsid w:val="64224A4E"/>
    <w:rsid w:val="68C11C2F"/>
    <w:rsid w:val="69F644A4"/>
    <w:rsid w:val="6D052672"/>
    <w:rsid w:val="704A7595"/>
    <w:rsid w:val="709D3B44"/>
    <w:rsid w:val="75F7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paragraph" w:styleId="3">
    <w:name w:val="Normal (Web)"/>
    <w:basedOn w:val="1"/>
    <w:semiHidden/>
    <w:unhideWhenUsed/>
    <w:uiPriority w:val="99"/>
    <w:pPr>
      <w:spacing w:beforeAutospacing="1" w:afterAutospacing="1"/>
      <w:jc w:val="left"/>
    </w:pPr>
    <w:rPr>
      <w:rFonts w:cs="Times New Roman"/>
      <w:kern w:val="0"/>
      <w:sz w:val="24"/>
    </w:rPr>
  </w:style>
  <w:style w:type="character" w:customStyle="1" w:styleId="6">
    <w:name w:val="批注框文本 Char"/>
    <w:basedOn w:val="5"/>
    <w:link w:val="2"/>
    <w:semiHidden/>
    <w:qFormat/>
    <w:uiPriority w:val="99"/>
    <w:rPr>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73709-0172-4649-9787-7915E580F87E}">
  <ds:schemaRefs/>
</ds:datastoreItem>
</file>

<file path=docProps/app.xml><?xml version="1.0" encoding="utf-8"?>
<Properties xmlns="http://schemas.openxmlformats.org/officeDocument/2006/extended-properties" xmlns:vt="http://schemas.openxmlformats.org/officeDocument/2006/docPropsVTypes">
  <Template>Normal</Template>
  <Pages>8</Pages>
  <Words>3062</Words>
  <Characters>3260</Characters>
  <Lines>24</Lines>
  <Paragraphs>6</Paragraphs>
  <TotalTime>4</TotalTime>
  <ScaleCrop>false</ScaleCrop>
  <LinksUpToDate>false</LinksUpToDate>
  <CharactersWithSpaces>3351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2025-02-20T10:15:12Z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eyJoZGlkIjoiODM2MGQ5OTA4MzQzODIzZGFjMzUzMjljNzgyYTQ3NTMiLCJ1c2VySWQiOiIzNjcyOTAzODIifQ==</vt:lpwstr>
  </property>
  <property fmtid="{D5CDD505-2E9C-101B-9397-08002B2CF9AE}" pid="4" name="ICV">
    <vt:lpwstr>CF152244A84B45F4AFC6B3B6FA3B756F_12</vt:lpwstr>
  </property>
</Properties>
</file>