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浑源县市场监督管理局</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目录</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 部门</w:t>
      </w:r>
      <w:r>
        <w:rPr>
          <w:rFonts w:ascii="黑体" w:hAnsi="黑体" w:eastAsia="黑体"/>
          <w:b/>
          <w:color w:val="000000" w:themeColor="text1"/>
          <w:kern w:val="0"/>
          <w:szCs w:val="21"/>
          <w14:textFill>
            <w14:solidFill>
              <w14:schemeClr w14:val="tx1"/>
            </w14:solidFill>
          </w14:textFill>
        </w:rPr>
        <w:t>及单位</w:t>
      </w:r>
      <w:r>
        <w:rPr>
          <w:rFonts w:hint="eastAsia" w:ascii="黑体" w:hAnsi="黑体" w:eastAsia="黑体"/>
          <w:b/>
          <w:color w:val="000000" w:themeColor="text1"/>
          <w:kern w:val="0"/>
          <w:szCs w:val="21"/>
          <w14:textFill>
            <w14:solidFill>
              <w14:schemeClr w14:val="tx1"/>
            </w14:solidFill>
          </w14:textFill>
        </w:rPr>
        <w:t>概况</w:t>
      </w:r>
    </w:p>
    <w:p>
      <w:pPr>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一、部门职责</w:t>
      </w:r>
    </w:p>
    <w:p>
      <w:pPr>
        <w:numPr>
          <w:ilvl w:val="0"/>
          <w:numId w:val="1"/>
        </w:numPr>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机构设置</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第二部分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w:t>
      </w:r>
      <w:r>
        <w:rPr>
          <w:rFonts w:ascii="黑体" w:hAnsi="黑体" w:eastAsia="黑体"/>
          <w:b/>
          <w:color w:val="000000" w:themeColor="text1"/>
          <w:kern w:val="0"/>
          <w:szCs w:val="21"/>
          <w14:textFill>
            <w14:solidFill>
              <w14:schemeClr w14:val="tx1"/>
            </w14:solidFill>
          </w14:textFill>
        </w:rPr>
        <w:t>开</w:t>
      </w:r>
      <w:r>
        <w:rPr>
          <w:rFonts w:hint="eastAsia" w:ascii="黑体" w:hAnsi="黑体" w:eastAsia="黑体"/>
          <w:b/>
          <w:color w:val="000000" w:themeColor="text1"/>
          <w:kern w:val="0"/>
          <w:szCs w:val="21"/>
          <w14:textFill>
            <w14:solidFill>
              <w14:schemeClr w14:val="tx1"/>
            </w14:solidFill>
          </w14:textFill>
        </w:rPr>
        <w:t>报表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表一：GK01 收入支出决算总表(公开01表)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表二：GK02 收入决算表(公开02表)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表三：GK03 支出决算表(公开03表)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表四：GK04 财政拨款收入支出决算总表(公开04表)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表五：GK05 一般公共预算财政拨款支出决算表（一）(公开05表)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表六：GK06 一般公共预算财政拨款支出决算表（二）(公开06表)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表七：GK07 一般公共预算财政拨款“三公”经费支出决算表(公开07)</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表八：GK08 政府性基金预算财政拨款收入支出决算表(公开08表)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表九：GK09 国有资本经营预算财政拨款支出决算表(公开09表)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w:t>
      </w:r>
      <w:r>
        <w:rPr>
          <w:rFonts w:ascii="宋体" w:hAnsi="宋体" w:eastAsia="宋体"/>
          <w:color w:val="000000" w:themeColor="text1"/>
          <w:kern w:val="0"/>
          <w:szCs w:val="21"/>
          <w14:textFill>
            <w14:solidFill>
              <w14:schemeClr w14:val="tx1"/>
            </w14:solidFill>
          </w14:textFill>
        </w:rPr>
        <w:t>十：</w:t>
      </w:r>
      <w:r>
        <w:rPr>
          <w:rFonts w:hint="eastAsia" w:ascii="宋体" w:hAnsi="宋体" w:eastAsia="宋体"/>
          <w:color w:val="000000" w:themeColor="text1"/>
          <w:kern w:val="0"/>
          <w:szCs w:val="21"/>
          <w14:textFill>
            <w14:solidFill>
              <w14:schemeClr w14:val="tx1"/>
            </w14:solidFill>
          </w14:textFill>
        </w:rPr>
        <w:t>GK10 部门决算公开相关信息统计表(公开10表)</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一、决算收入情况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第四部分 部</w:t>
      </w:r>
      <w:r>
        <w:rPr>
          <w:rFonts w:ascii="黑体" w:hAnsi="黑体" w:eastAsia="黑体"/>
          <w:b/>
          <w:color w:val="000000" w:themeColor="text1"/>
          <w:kern w:val="0"/>
          <w:szCs w:val="21"/>
          <w14:textFill>
            <w14:solidFill>
              <w14:schemeClr w14:val="tx1"/>
            </w14:solidFill>
          </w14:textFill>
        </w:rPr>
        <w:t>门</w:t>
      </w:r>
      <w:r>
        <w:rPr>
          <w:rFonts w:hint="eastAsia" w:ascii="黑体" w:hAnsi="黑体" w:eastAsia="黑体"/>
          <w:b/>
          <w:color w:val="000000" w:themeColor="text1"/>
          <w:kern w:val="0"/>
          <w:szCs w:val="21"/>
          <w14:textFill>
            <w14:solidFill>
              <w14:schemeClr w14:val="tx1"/>
            </w14:solidFill>
          </w14:textFill>
        </w:rPr>
        <w:t>名词解释</w:t>
      </w: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内</w:t>
      </w:r>
      <w:r>
        <w:rPr>
          <w:rFonts w:ascii="黑体" w:hAnsi="黑体" w:eastAsia="黑体"/>
          <w:b/>
          <w:color w:val="000000" w:themeColor="text1"/>
          <w:kern w:val="0"/>
          <w:szCs w:val="21"/>
          <w14:textFill>
            <w14:solidFill>
              <w14:schemeClr w14:val="tx1"/>
            </w14:solidFill>
          </w14:textFill>
        </w:rPr>
        <w:t>容</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第一部分：浑源县市场监督管理局概况</w:t>
      </w:r>
    </w:p>
    <w:p>
      <w:pPr>
        <w:ind w:firstLine="420" w:firstLineChars="200"/>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lang w:eastAsia="zh-CN"/>
          <w14:textFill>
            <w14:solidFill>
              <w14:schemeClr w14:val="tx1"/>
            </w14:solidFill>
          </w14:textFill>
        </w:rPr>
        <w:t>一、</w:t>
      </w:r>
      <w:r>
        <w:rPr>
          <w:rFonts w:hint="eastAsia" w:ascii="宋体" w:hAnsi="宋体" w:eastAsia="宋体"/>
          <w:color w:val="000000" w:themeColor="text1"/>
          <w:kern w:val="0"/>
          <w:szCs w:val="21"/>
          <w14:textFill>
            <w14:solidFill>
              <w14:schemeClr w14:val="tx1"/>
            </w14:solidFill>
          </w14:textFill>
        </w:rPr>
        <w:t>部门职责</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浑源县市场监督管理局位于山西省大同市浑源县永安镇恒山南路，是浑源县区域内主管市场监督管理和行政执法工作的职能部门，负责市场监督管理和行政执法工作，组织开展工商行政管理法律、法规和规章的行政执法检查工作；承担依法规范和维护各类市场经营秩序的责任，维护公平竞争的市场经营秩序；依法承担消费者权益保护责任，组织指导消费维权工作，查处假冒伪劣等违法行为，保护经营者、消费者合法权益；负责反垄断执法工作，依法查处不正当竞争、商业贿赂等经济违法行为；依法实施合同行政监督管理，规范合同行为、负责商标监督管理工作，依法保护注册商标专用权和查处商标侵权行为、负责企业信用信息归集、整理、发布等，加强市场信用分类监管等；</w:t>
      </w:r>
    </w:p>
    <w:p>
      <w:pPr>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rPr>
        <w:t>组织推进质量发展工作，管理与质量技术监督有关的技术法规备案，负责地理标志产品保护工作。负责全县宏观质量管理工作，开展宏观质量统计分析，建立完善质量诚信体系；负责全县产品质量监督工作，承担县级监督抽查相关工作，统一编制并组织实施产品质量监督抽查计划，组织开展打击假冒伪劣产品工作，查处违反有关质量技术监督法律、法规行为；管理和指导全县标准化工作、负责统一管理全县计量工作、负责统一管理、监督和协调全县认证认可工作、承担综合管理全县特种设备安全监督管理工作、加强节能减排领域的质量技术监督工作等</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p>
    <w:p>
      <w:pPr>
        <w:ind w:firstLine="420" w:firstLineChars="200"/>
        <w:rPr>
          <w:rFonts w:hint="eastAsia" w:ascii="宋体" w:hAnsi="宋体" w:eastAsia="宋体" w:cs="宋体"/>
          <w:sz w:val="24"/>
          <w:szCs w:val="24"/>
        </w:rPr>
      </w:pPr>
      <w:r>
        <w:rPr>
          <w:rFonts w:hint="eastAsia" w:ascii="宋体" w:hAnsi="宋体" w:eastAsia="宋体" w:cs="宋体"/>
          <w:sz w:val="21"/>
          <w:szCs w:val="21"/>
        </w:rPr>
        <w:t>负责执行国家和省、市有关食品、药品、医疗器械和化妆品生产 、流通和消费环节监管。负责实施食品行政许可。建立食品安全隐患治理机制，制定全县食品药品 重大整顿治理方案并组织实施。承担县食品安全委员会日常 工作。负责食品安全监督管理综合协调，推动健全协调联动机制等。</w:t>
      </w:r>
    </w:p>
    <w:p>
      <w:pPr>
        <w:ind w:firstLine="636"/>
        <w:jc w:val="left"/>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lang w:eastAsia="zh-CN"/>
          <w14:textFill>
            <w14:solidFill>
              <w14:schemeClr w14:val="tx1"/>
            </w14:solidFill>
          </w14:textFill>
        </w:rPr>
        <w:t>二、</w:t>
      </w:r>
      <w:r>
        <w:rPr>
          <w:rFonts w:hint="eastAsia" w:ascii="宋体" w:hAnsi="宋体" w:eastAsia="宋体"/>
          <w:color w:val="000000" w:themeColor="text1"/>
          <w:kern w:val="0"/>
          <w:szCs w:val="21"/>
          <w14:textFill>
            <w14:solidFill>
              <w14:schemeClr w14:val="tx1"/>
            </w14:solidFill>
          </w14:textFill>
        </w:rPr>
        <w:t>机构设置</w:t>
      </w:r>
    </w:p>
    <w:p>
      <w:pPr>
        <w:ind w:firstLine="636"/>
        <w:jc w:val="left"/>
        <w:rPr>
          <w:rFonts w:hint="eastAsia" w:ascii="宋体" w:hAnsi="宋体" w:eastAsia="宋体" w:cs="宋体"/>
          <w:sz w:val="21"/>
          <w:szCs w:val="21"/>
        </w:rPr>
      </w:pPr>
      <w:r>
        <w:rPr>
          <w:rFonts w:hint="eastAsia" w:ascii="宋体" w:hAnsi="宋体" w:eastAsia="宋体" w:cs="宋体"/>
          <w:sz w:val="21"/>
          <w:szCs w:val="21"/>
        </w:rPr>
        <w:t>我局设个1</w:t>
      </w:r>
      <w:r>
        <w:rPr>
          <w:rFonts w:hint="eastAsia" w:ascii="宋体" w:hAnsi="宋体" w:eastAsia="宋体" w:cs="宋体"/>
          <w:sz w:val="21"/>
          <w:szCs w:val="21"/>
          <w:lang w:val="en-US" w:eastAsia="zh-CN"/>
        </w:rPr>
        <w:t>9</w:t>
      </w:r>
      <w:r>
        <w:rPr>
          <w:rFonts w:hint="eastAsia" w:ascii="宋体" w:hAnsi="宋体" w:eastAsia="宋体" w:cs="宋体"/>
          <w:sz w:val="21"/>
          <w:szCs w:val="21"/>
        </w:rPr>
        <w:t>内设机构，股级建制。分别为</w:t>
      </w:r>
      <w:r>
        <w:rPr>
          <w:rFonts w:hint="eastAsia" w:ascii="宋体" w:hAnsi="宋体" w:eastAsia="宋体" w:cs="宋体"/>
          <w:sz w:val="21"/>
          <w:szCs w:val="21"/>
          <w:lang w:eastAsia="zh-CN"/>
        </w:rPr>
        <w:t>综合</w:t>
      </w:r>
      <w:r>
        <w:rPr>
          <w:rFonts w:hint="eastAsia" w:ascii="宋体" w:hAnsi="宋体" w:eastAsia="宋体" w:cs="宋体"/>
          <w:sz w:val="21"/>
          <w:szCs w:val="21"/>
        </w:rPr>
        <w:t>办公室、</w:t>
      </w:r>
      <w:r>
        <w:rPr>
          <w:rFonts w:hint="eastAsia" w:ascii="宋体" w:hAnsi="宋体" w:eastAsia="宋体" w:cs="宋体"/>
          <w:sz w:val="21"/>
          <w:szCs w:val="21"/>
          <w:lang w:eastAsia="zh-CN"/>
        </w:rPr>
        <w:t>人事</w:t>
      </w:r>
      <w:r>
        <w:rPr>
          <w:rFonts w:hint="eastAsia" w:ascii="宋体" w:hAnsi="宋体" w:eastAsia="宋体" w:cs="宋体"/>
          <w:sz w:val="21"/>
          <w:szCs w:val="21"/>
        </w:rPr>
        <w:t>财务股、法规股、</w:t>
      </w:r>
      <w:r>
        <w:rPr>
          <w:rFonts w:hint="eastAsia" w:ascii="宋体" w:hAnsi="宋体" w:eastAsia="宋体" w:cs="宋体"/>
          <w:sz w:val="21"/>
          <w:szCs w:val="21"/>
          <w:lang w:eastAsia="zh-CN"/>
        </w:rPr>
        <w:t>信用监督管理股、消费者权益保护和市场交易监督管理股、反垄断和反不正当竞争股、</w:t>
      </w:r>
      <w:r>
        <w:rPr>
          <w:rFonts w:hint="eastAsia" w:ascii="宋体" w:hAnsi="宋体" w:eastAsia="宋体" w:cs="宋体"/>
          <w:sz w:val="21"/>
          <w:szCs w:val="21"/>
        </w:rPr>
        <w:t>网络交易监督管理股、</w:t>
      </w:r>
      <w:r>
        <w:rPr>
          <w:rFonts w:hint="eastAsia" w:ascii="宋体" w:hAnsi="宋体" w:eastAsia="宋体" w:cs="宋体"/>
          <w:sz w:val="21"/>
          <w:szCs w:val="21"/>
          <w:lang w:eastAsia="zh-CN"/>
        </w:rPr>
        <w:t>知识产权和广告监督管理股、</w:t>
      </w:r>
      <w:r>
        <w:rPr>
          <w:rFonts w:hint="eastAsia" w:ascii="宋体" w:hAnsi="宋体" w:eastAsia="宋体" w:cs="宋体"/>
          <w:sz w:val="21"/>
          <w:szCs w:val="21"/>
        </w:rPr>
        <w:t>质量计量</w:t>
      </w:r>
      <w:r>
        <w:rPr>
          <w:rFonts w:hint="eastAsia" w:ascii="宋体" w:hAnsi="宋体" w:eastAsia="宋体" w:cs="宋体"/>
          <w:sz w:val="21"/>
          <w:szCs w:val="21"/>
          <w:lang w:eastAsia="zh-CN"/>
        </w:rPr>
        <w:t>认证监督</w:t>
      </w:r>
      <w:r>
        <w:rPr>
          <w:rFonts w:hint="eastAsia" w:ascii="宋体" w:hAnsi="宋体" w:eastAsia="宋体" w:cs="宋体"/>
          <w:sz w:val="21"/>
          <w:szCs w:val="21"/>
        </w:rPr>
        <w:t>管理股、</w:t>
      </w:r>
      <w:r>
        <w:rPr>
          <w:rFonts w:hint="eastAsia" w:ascii="宋体" w:hAnsi="宋体" w:eastAsia="宋体" w:cs="宋体"/>
          <w:sz w:val="21"/>
          <w:szCs w:val="21"/>
          <w:lang w:eastAsia="zh-CN"/>
        </w:rPr>
        <w:t>标准化股、产品质量安全抽检监测股、</w:t>
      </w:r>
      <w:r>
        <w:rPr>
          <w:rFonts w:hint="eastAsia" w:ascii="宋体" w:hAnsi="宋体" w:eastAsia="宋体" w:cs="宋体"/>
          <w:sz w:val="21"/>
          <w:szCs w:val="21"/>
        </w:rPr>
        <w:t>特种设备安全监察股、食品生产</w:t>
      </w:r>
      <w:r>
        <w:rPr>
          <w:rFonts w:hint="eastAsia" w:ascii="宋体" w:hAnsi="宋体" w:eastAsia="宋体" w:cs="宋体"/>
          <w:sz w:val="21"/>
          <w:szCs w:val="21"/>
          <w:lang w:eastAsia="zh-CN"/>
        </w:rPr>
        <w:t>安全监督管理</w:t>
      </w:r>
      <w:r>
        <w:rPr>
          <w:rFonts w:hint="eastAsia" w:ascii="宋体" w:hAnsi="宋体" w:eastAsia="宋体" w:cs="宋体"/>
          <w:sz w:val="21"/>
          <w:szCs w:val="21"/>
        </w:rPr>
        <w:t>股、食品流通</w:t>
      </w:r>
      <w:r>
        <w:rPr>
          <w:rFonts w:hint="eastAsia" w:ascii="宋体" w:hAnsi="宋体" w:eastAsia="宋体" w:cs="宋体"/>
          <w:sz w:val="21"/>
          <w:szCs w:val="21"/>
          <w:lang w:eastAsia="zh-CN"/>
        </w:rPr>
        <w:t>监督管理</w:t>
      </w:r>
      <w:r>
        <w:rPr>
          <w:rFonts w:hint="eastAsia" w:ascii="宋体" w:hAnsi="宋体" w:eastAsia="宋体" w:cs="宋体"/>
          <w:sz w:val="21"/>
          <w:szCs w:val="21"/>
        </w:rPr>
        <w:t>股、餐饮</w:t>
      </w:r>
      <w:r>
        <w:rPr>
          <w:rFonts w:hint="eastAsia" w:ascii="宋体" w:hAnsi="宋体" w:eastAsia="宋体" w:cs="宋体"/>
          <w:sz w:val="21"/>
          <w:szCs w:val="21"/>
          <w:lang w:eastAsia="zh-CN"/>
        </w:rPr>
        <w:t>服务监督管理</w:t>
      </w:r>
      <w:r>
        <w:rPr>
          <w:rFonts w:hint="eastAsia" w:ascii="宋体" w:hAnsi="宋体" w:eastAsia="宋体" w:cs="宋体"/>
          <w:sz w:val="21"/>
          <w:szCs w:val="21"/>
        </w:rPr>
        <w:t>股、药</w:t>
      </w:r>
      <w:r>
        <w:rPr>
          <w:rFonts w:hint="eastAsia" w:ascii="宋体" w:hAnsi="宋体" w:eastAsia="宋体" w:cs="宋体"/>
          <w:sz w:val="21"/>
          <w:szCs w:val="21"/>
          <w:lang w:eastAsia="zh-CN"/>
        </w:rPr>
        <w:t>品医疗器</w:t>
      </w:r>
      <w:r>
        <w:rPr>
          <w:rFonts w:hint="eastAsia" w:ascii="宋体" w:hAnsi="宋体" w:eastAsia="宋体" w:cs="宋体"/>
          <w:sz w:val="21"/>
          <w:szCs w:val="21"/>
        </w:rPr>
        <w:t>械</w:t>
      </w:r>
      <w:r>
        <w:rPr>
          <w:rFonts w:hint="eastAsia" w:ascii="宋体" w:hAnsi="宋体" w:eastAsia="宋体" w:cs="宋体"/>
          <w:sz w:val="21"/>
          <w:szCs w:val="21"/>
          <w:lang w:eastAsia="zh-CN"/>
        </w:rPr>
        <w:t>、保健品和化妆品监督管理</w:t>
      </w:r>
      <w:r>
        <w:rPr>
          <w:rFonts w:hint="eastAsia" w:ascii="宋体" w:hAnsi="宋体" w:eastAsia="宋体" w:cs="宋体"/>
          <w:sz w:val="21"/>
          <w:szCs w:val="21"/>
        </w:rPr>
        <w:t>股、</w:t>
      </w:r>
      <w:r>
        <w:rPr>
          <w:rFonts w:hint="eastAsia" w:ascii="宋体" w:hAnsi="宋体" w:eastAsia="宋体" w:cs="宋体"/>
          <w:sz w:val="21"/>
          <w:szCs w:val="21"/>
          <w:lang w:eastAsia="zh-CN"/>
        </w:rPr>
        <w:t>信息宣传和应急管理股、价格监督管理股、非公经济组织党建工作办公室（机关党办）</w:t>
      </w:r>
      <w:r>
        <w:rPr>
          <w:rFonts w:hint="eastAsia" w:ascii="宋体" w:hAnsi="宋体" w:eastAsia="宋体" w:cs="宋体"/>
          <w:sz w:val="21"/>
          <w:szCs w:val="21"/>
        </w:rPr>
        <w:t>。</w:t>
      </w:r>
    </w:p>
    <w:p>
      <w:pPr>
        <w:ind w:firstLine="636"/>
        <w:jc w:val="left"/>
        <w:rPr>
          <w:rFonts w:hint="eastAsia" w:ascii="宋体" w:hAnsi="宋体" w:eastAsia="宋体" w:cs="宋体"/>
          <w:sz w:val="21"/>
          <w:szCs w:val="21"/>
        </w:rPr>
      </w:pPr>
      <w:r>
        <w:rPr>
          <w:rFonts w:hint="eastAsia" w:ascii="宋体" w:hAnsi="宋体" w:eastAsia="宋体" w:cs="宋体"/>
          <w:sz w:val="21"/>
          <w:szCs w:val="21"/>
        </w:rPr>
        <w:t>设</w:t>
      </w:r>
      <w:r>
        <w:rPr>
          <w:rFonts w:hint="eastAsia" w:ascii="宋体" w:hAnsi="宋体" w:eastAsia="宋体" w:cs="宋体"/>
          <w:sz w:val="21"/>
          <w:szCs w:val="21"/>
          <w:lang w:val="en-US" w:eastAsia="zh-CN"/>
        </w:rPr>
        <w:t>16</w:t>
      </w:r>
      <w:r>
        <w:rPr>
          <w:rFonts w:hint="eastAsia" w:ascii="宋体" w:hAnsi="宋体" w:eastAsia="宋体" w:cs="宋体"/>
          <w:sz w:val="21"/>
          <w:szCs w:val="21"/>
        </w:rPr>
        <w:t>个</w:t>
      </w:r>
      <w:r>
        <w:rPr>
          <w:rFonts w:hint="eastAsia" w:ascii="宋体" w:hAnsi="宋体" w:eastAsia="宋体" w:cs="宋体"/>
          <w:sz w:val="21"/>
          <w:szCs w:val="21"/>
          <w:lang w:eastAsia="zh-CN"/>
        </w:rPr>
        <w:t>市场监督管理所，作为我局</w:t>
      </w:r>
      <w:r>
        <w:rPr>
          <w:rFonts w:hint="eastAsia" w:ascii="宋体" w:hAnsi="宋体" w:eastAsia="宋体" w:cs="宋体"/>
          <w:sz w:val="21"/>
          <w:szCs w:val="21"/>
        </w:rPr>
        <w:t>派</w:t>
      </w:r>
      <w:r>
        <w:rPr>
          <w:rFonts w:hint="eastAsia" w:ascii="宋体" w:hAnsi="宋体" w:eastAsia="宋体" w:cs="宋体"/>
          <w:sz w:val="21"/>
          <w:szCs w:val="21"/>
          <w:lang w:eastAsia="zh-CN"/>
        </w:rPr>
        <w:t>驻全县</w:t>
      </w:r>
      <w:r>
        <w:rPr>
          <w:rFonts w:hint="eastAsia" w:ascii="宋体" w:hAnsi="宋体" w:eastAsia="宋体" w:cs="宋体"/>
          <w:sz w:val="21"/>
          <w:szCs w:val="21"/>
          <w:lang w:val="en-US" w:eastAsia="zh-CN"/>
        </w:rPr>
        <w:t>16个乡镇的派</w:t>
      </w:r>
      <w:r>
        <w:rPr>
          <w:rFonts w:hint="eastAsia" w:ascii="宋体" w:hAnsi="宋体" w:eastAsia="宋体" w:cs="宋体"/>
          <w:sz w:val="21"/>
          <w:szCs w:val="21"/>
        </w:rPr>
        <w:t>出机构。</w:t>
      </w:r>
    </w:p>
    <w:p>
      <w:pPr>
        <w:ind w:firstLine="636"/>
        <w:jc w:val="left"/>
        <w:rPr>
          <w:rFonts w:hint="eastAsia" w:ascii="宋体" w:hAnsi="宋体" w:eastAsia="宋体" w:cs="宋体"/>
          <w:sz w:val="21"/>
          <w:szCs w:val="21"/>
          <w:lang w:val="en-US" w:eastAsia="zh-CN"/>
        </w:rPr>
      </w:pPr>
      <w:r>
        <w:rPr>
          <w:rFonts w:hint="eastAsia" w:ascii="宋体" w:hAnsi="宋体" w:eastAsia="宋体" w:cs="宋体"/>
          <w:sz w:val="21"/>
          <w:szCs w:val="21"/>
          <w:lang w:eastAsia="zh-CN"/>
        </w:rPr>
        <w:t>下属事业单位一个，浑源县市场监管事务服务中心</w:t>
      </w:r>
      <w:r>
        <w:rPr>
          <w:rFonts w:hint="eastAsia" w:ascii="宋体" w:hAnsi="宋体" w:eastAsia="宋体" w:cs="宋体"/>
          <w:sz w:val="21"/>
          <w:szCs w:val="21"/>
        </w:rPr>
        <w:t>，副科建制</w:t>
      </w:r>
      <w:r>
        <w:rPr>
          <w:rFonts w:hint="eastAsia" w:ascii="宋体" w:hAnsi="宋体" w:eastAsia="宋体" w:cs="宋体"/>
          <w:sz w:val="21"/>
          <w:szCs w:val="21"/>
          <w:lang w:eastAsia="zh-CN"/>
        </w:rPr>
        <w:t>，未独立核算。</w:t>
      </w:r>
    </w:p>
    <w:p>
      <w:pPr>
        <w:ind w:firstLine="636"/>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挂靠我局的参照事业单位管理的社会团体三个，分别为：浑源县个体劳动者协会、浑源县民营企业协会、浑源县消费者协会。</w:t>
      </w:r>
    </w:p>
    <w:p>
      <w:pPr>
        <w:ind w:firstLine="636"/>
        <w:jc w:val="left"/>
        <w:rPr>
          <w:rFonts w:hint="eastAsia" w:ascii="宋体" w:hAnsi="宋体" w:eastAsia="宋体" w:cs="宋体"/>
          <w:sz w:val="21"/>
          <w:szCs w:val="21"/>
        </w:rPr>
      </w:pPr>
      <w:r>
        <w:rPr>
          <w:rFonts w:hint="eastAsia" w:ascii="宋体" w:hAnsi="宋体" w:eastAsia="宋体" w:cs="宋体"/>
          <w:sz w:val="21"/>
          <w:szCs w:val="21"/>
          <w:lang w:eastAsia="zh-CN"/>
        </w:rPr>
        <w:t>另有浑源县市场监管综合执法大队，与我局一套人马，未独立核算。</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第二部分：202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年度部门决算公开报表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附件：大</w:t>
      </w:r>
      <w:r>
        <w:rPr>
          <w:rFonts w:ascii="宋体" w:hAnsi="宋体" w:eastAsia="宋体"/>
          <w:color w:val="000000" w:themeColor="text1"/>
          <w:kern w:val="0"/>
          <w:szCs w:val="21"/>
          <w14:textFill>
            <w14:solidFill>
              <w14:schemeClr w14:val="tx1"/>
            </w14:solidFill>
          </w14:textFill>
        </w:rPr>
        <w:t>同市</w:t>
      </w:r>
      <w:r>
        <w:rPr>
          <w:rFonts w:hint="eastAsia" w:ascii="宋体" w:hAnsi="宋体" w:eastAsia="宋体"/>
          <w:color w:val="000000" w:themeColor="text1"/>
          <w:kern w:val="0"/>
          <w:szCs w:val="21"/>
          <w14:textFill>
            <w14:solidFill>
              <w14:schemeClr w14:val="tx1"/>
            </w14:solidFill>
          </w14:textFill>
        </w:rPr>
        <w:t>浑源县市场监督管理局</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年度部门决算公开报表.xls</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pPr>
        <w:ind w:left="424"/>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决算收入情况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w:t>
      </w: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年度</w:t>
      </w:r>
      <w:r>
        <w:rPr>
          <w:rFonts w:hint="eastAsia" w:ascii="宋体" w:hAnsi="宋体" w:eastAsia="宋体"/>
          <w:color w:val="000000" w:themeColor="text1"/>
          <w:kern w:val="0"/>
          <w:szCs w:val="21"/>
          <w14:textFill>
            <w14:solidFill>
              <w14:schemeClr w14:val="tx1"/>
            </w14:solidFill>
          </w14:textFill>
        </w:rPr>
        <w:t>总</w:t>
      </w:r>
      <w:r>
        <w:rPr>
          <w:rFonts w:ascii="宋体" w:hAnsi="宋体" w:eastAsia="宋体"/>
          <w:color w:val="000000" w:themeColor="text1"/>
          <w:kern w:val="0"/>
          <w:szCs w:val="21"/>
          <w14:textFill>
            <w14:solidFill>
              <w14:schemeClr w14:val="tx1"/>
            </w14:solidFill>
          </w14:textFill>
        </w:rPr>
        <w:t>收入为1770.63</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年度总收入为1753.08</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中：一般公共预算财政拨款本年度收入为1770.59</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年度收入为1750.21</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1.16</w:t>
      </w:r>
      <w:r>
        <w:rPr>
          <w:rFonts w:hint="eastAsia" w:ascii="宋体" w:hAnsi="宋体" w:eastAsia="宋体"/>
          <w:color w:val="000000" w:themeColor="text1"/>
          <w:kern w:val="0"/>
          <w:szCs w:val="21"/>
          <w14:textFill>
            <w14:solidFill>
              <w14:schemeClr w14:val="tx1"/>
            </w14:solidFill>
          </w14:textFill>
        </w:rPr>
        <w:t xml:space="preserve"> %；政府</w:t>
      </w:r>
      <w:r>
        <w:rPr>
          <w:rFonts w:ascii="宋体" w:hAnsi="宋体" w:eastAsia="宋体"/>
          <w:color w:val="000000" w:themeColor="text1"/>
          <w:kern w:val="0"/>
          <w:szCs w:val="21"/>
          <w14:textFill>
            <w14:solidFill>
              <w14:schemeClr w14:val="tx1"/>
            </w14:solidFill>
          </w14:textFill>
        </w:rPr>
        <w:t>性基金预算财政拨款本年度收入为0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%；事</w:t>
      </w:r>
      <w:r>
        <w:rPr>
          <w:rFonts w:ascii="宋体" w:hAnsi="宋体" w:eastAsia="宋体"/>
          <w:color w:val="000000" w:themeColor="text1"/>
          <w:kern w:val="0"/>
          <w:szCs w:val="21"/>
          <w14:textFill>
            <w14:solidFill>
              <w14:schemeClr w14:val="tx1"/>
            </w14:solidFill>
          </w14:textFill>
        </w:rPr>
        <w:t>业收入本年度收入为0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他收入本年度收入为0.04</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年度收入为2.87</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-98.66</w:t>
      </w:r>
      <w:r>
        <w:rPr>
          <w:rFonts w:hint="eastAsia"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单位本年度总支出为1772.85</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元，上年度总支出为1763.64</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，增减0.52</w:t>
      </w:r>
      <w:r>
        <w:rPr>
          <w:rFonts w:hint="eastAsia" w:ascii="宋体" w:hAnsi="宋体" w:eastAsia="宋体"/>
          <w:color w:val="000000" w:themeColor="text1"/>
          <w:kern w:val="0"/>
          <w:szCs w:val="21"/>
          <w14:textFill>
            <w14:solidFill>
              <w14:schemeClr w14:val="tx1"/>
            </w14:solidFill>
          </w14:textFill>
        </w:rPr>
        <w:t>%。其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基</w:t>
      </w:r>
      <w:r>
        <w:rPr>
          <w:rFonts w:ascii="宋体" w:hAnsi="宋体" w:eastAsia="宋体"/>
          <w:color w:val="000000" w:themeColor="text1"/>
          <w:kern w:val="0"/>
          <w:szCs w:val="21"/>
          <w14:textFill>
            <w14:solidFill>
              <w14:schemeClr w14:val="tx1"/>
            </w14:solidFill>
          </w14:textFill>
        </w:rPr>
        <w:t>本支出本年度支出为1646.89</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年度支出为1602.83</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2.75</w:t>
      </w:r>
      <w:r>
        <w:rPr>
          <w:rFonts w:hint="eastAsia" w:ascii="宋体" w:hAnsi="宋体" w:eastAsia="宋体"/>
          <w:color w:val="000000" w:themeColor="text1"/>
          <w:kern w:val="0"/>
          <w:szCs w:val="21"/>
          <w14:textFill>
            <w14:solidFill>
              <w14:schemeClr w14:val="tx1"/>
            </w14:solidFill>
          </w14:textFill>
        </w:rPr>
        <w:t xml:space="preserve"> %；项目</w:t>
      </w:r>
      <w:r>
        <w:rPr>
          <w:rFonts w:ascii="宋体" w:hAnsi="宋体" w:eastAsia="宋体"/>
          <w:color w:val="000000" w:themeColor="text1"/>
          <w:kern w:val="0"/>
          <w:szCs w:val="21"/>
          <w14:textFill>
            <w14:solidFill>
              <w14:schemeClr w14:val="tx1"/>
            </w14:solidFill>
          </w14:textFill>
        </w:rPr>
        <w:t>支出本年度支出为125.96</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年度支出为160.81</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-21.67</w:t>
      </w:r>
      <w:r>
        <w:rPr>
          <w:rFonts w:hint="eastAsia" w:ascii="宋体" w:hAnsi="宋体" w:eastAsia="宋体"/>
          <w:color w:val="000000" w:themeColor="text1"/>
          <w:kern w:val="0"/>
          <w:szCs w:val="21"/>
          <w14:textFill>
            <w14:solidFill>
              <w14:schemeClr w14:val="tx1"/>
            </w14:solidFill>
          </w14:textFill>
        </w:rPr>
        <w:t xml:space="preserve"> %。</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“三公”经费总</w:t>
      </w:r>
      <w:r>
        <w:rPr>
          <w:rFonts w:ascii="宋体" w:hAnsi="宋体" w:eastAsia="宋体"/>
          <w:color w:val="000000" w:themeColor="text1"/>
          <w:kern w:val="0"/>
          <w:szCs w:val="21"/>
          <w14:textFill>
            <w14:solidFill>
              <w14:schemeClr w14:val="tx1"/>
            </w14:solidFill>
          </w14:textFill>
        </w:rPr>
        <w:t>支出为4.65</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年度支出为7.42</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-37.29</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因</w:t>
      </w:r>
      <w:r>
        <w:rPr>
          <w:rFonts w:ascii="宋体" w:hAnsi="宋体" w:eastAsia="宋体"/>
          <w:color w:val="000000" w:themeColor="text1"/>
          <w:kern w:val="0"/>
          <w:szCs w:val="21"/>
          <w14:textFill>
            <w14:solidFill>
              <w14:schemeClr w14:val="tx1"/>
            </w14:solidFill>
          </w14:textFill>
        </w:rPr>
        <w:t>公出国</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境）费</w:t>
      </w: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年度支出0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%；公务用车购置及运行维护费支</w:t>
      </w:r>
      <w:r>
        <w:rPr>
          <w:rFonts w:ascii="宋体" w:hAnsi="宋体" w:eastAsia="宋体"/>
          <w:color w:val="000000" w:themeColor="text1"/>
          <w:kern w:val="0"/>
          <w:szCs w:val="21"/>
          <w14:textFill>
            <w14:solidFill>
              <w14:schemeClr w14:val="tx1"/>
            </w14:solidFill>
          </w14:textFill>
        </w:rPr>
        <w:t>出为4.65</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年度支出为7.35</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-36.75</w:t>
      </w:r>
      <w:r>
        <w:rPr>
          <w:rFonts w:hint="eastAsia" w:ascii="宋体" w:hAnsi="宋体" w:eastAsia="宋体"/>
          <w:color w:val="000000" w:themeColor="text1"/>
          <w:kern w:val="0"/>
          <w:szCs w:val="21"/>
          <w14:textFill>
            <w14:solidFill>
              <w14:schemeClr w14:val="tx1"/>
            </w14:solidFill>
          </w14:textFill>
        </w:rPr>
        <w:t xml:space="preserve"> %；公</w:t>
      </w:r>
      <w:r>
        <w:rPr>
          <w:rFonts w:ascii="宋体" w:hAnsi="宋体" w:eastAsia="宋体"/>
          <w:color w:val="000000" w:themeColor="text1"/>
          <w:kern w:val="0"/>
          <w:szCs w:val="21"/>
          <w14:textFill>
            <w14:solidFill>
              <w14:schemeClr w14:val="tx1"/>
            </w14:solidFill>
          </w14:textFill>
        </w:rPr>
        <w:t>务接待费</w:t>
      </w:r>
      <w:r>
        <w:rPr>
          <w:rFonts w:hint="eastAsia" w:ascii="宋体" w:hAnsi="宋体" w:eastAsia="宋体"/>
          <w:color w:val="000000" w:themeColor="text1"/>
          <w:kern w:val="0"/>
          <w:szCs w:val="21"/>
          <w14:textFill>
            <w14:solidFill>
              <w14:schemeClr w14:val="tx1"/>
            </w14:solidFill>
          </w14:textFill>
        </w:rPr>
        <w:t>支</w:t>
      </w:r>
      <w:r>
        <w:rPr>
          <w:rFonts w:ascii="宋体" w:hAnsi="宋体" w:eastAsia="宋体"/>
          <w:color w:val="000000" w:themeColor="text1"/>
          <w:kern w:val="0"/>
          <w:szCs w:val="21"/>
          <w14:textFill>
            <w14:solidFill>
              <w14:schemeClr w14:val="tx1"/>
            </w14:solidFill>
          </w14:textFill>
        </w:rPr>
        <w:t>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年度支出为0.06</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-100</w:t>
      </w:r>
      <w:r>
        <w:rPr>
          <w:rFonts w:hint="eastAsia" w:ascii="宋体" w:hAnsi="宋体" w:eastAsia="宋体"/>
          <w:color w:val="000000" w:themeColor="text1"/>
          <w:kern w:val="0"/>
          <w:szCs w:val="21"/>
          <w14:textFill>
            <w14:solidFill>
              <w14:schemeClr w14:val="tx1"/>
            </w14:solidFill>
          </w14:textFill>
        </w:rPr>
        <w:t xml:space="preserve"> %。</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机关运行经费总</w:t>
      </w:r>
      <w:r>
        <w:rPr>
          <w:rFonts w:ascii="宋体" w:hAnsi="宋体" w:eastAsia="宋体"/>
          <w:color w:val="000000" w:themeColor="text1"/>
          <w:kern w:val="0"/>
          <w:szCs w:val="21"/>
          <w14:textFill>
            <w14:solidFill>
              <w14:schemeClr w14:val="tx1"/>
            </w14:solidFill>
          </w14:textFill>
        </w:rPr>
        <w:t>支出为70.67</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年度支出为53.66</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31.69</w:t>
      </w:r>
      <w:r>
        <w:rPr>
          <w:rFonts w:hint="eastAsia" w:ascii="宋体" w:hAnsi="宋体" w:eastAsia="宋体"/>
          <w:color w:val="000000" w:themeColor="text1"/>
          <w:kern w:val="0"/>
          <w:szCs w:val="21"/>
          <w14:textFill>
            <w14:solidFill>
              <w14:schemeClr w14:val="tx1"/>
            </w14:solidFill>
          </w14:textFill>
        </w:rPr>
        <w:t xml:space="preserve"> %；主</w:t>
      </w:r>
      <w:r>
        <w:rPr>
          <w:rFonts w:ascii="宋体" w:hAnsi="宋体" w:eastAsia="宋体"/>
          <w:color w:val="000000" w:themeColor="text1"/>
          <w:kern w:val="0"/>
          <w:szCs w:val="21"/>
          <w14:textFill>
            <w14:solidFill>
              <w14:schemeClr w14:val="tx1"/>
            </w14:solidFill>
          </w14:textFill>
        </w:rPr>
        <w:t>要为日常办公费、水电、</w:t>
      </w:r>
      <w:r>
        <w:rPr>
          <w:rFonts w:hint="eastAsia" w:ascii="宋体" w:hAnsi="宋体" w:eastAsia="宋体"/>
          <w:color w:val="000000" w:themeColor="text1"/>
          <w:kern w:val="0"/>
          <w:szCs w:val="21"/>
          <w14:textFill>
            <w14:solidFill>
              <w14:schemeClr w14:val="tx1"/>
            </w14:solidFill>
          </w14:textFill>
        </w:rPr>
        <w:t>差旅</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印</w:t>
      </w:r>
      <w:r>
        <w:rPr>
          <w:rFonts w:ascii="宋体" w:hAnsi="宋体" w:eastAsia="宋体"/>
          <w:color w:val="000000" w:themeColor="text1"/>
          <w:kern w:val="0"/>
          <w:szCs w:val="21"/>
          <w14:textFill>
            <w14:solidFill>
              <w14:schemeClr w14:val="tx1"/>
            </w14:solidFill>
          </w14:textFill>
        </w:rPr>
        <w:t>刷</w:t>
      </w:r>
      <w:r>
        <w:rPr>
          <w:rFonts w:hint="eastAsia" w:ascii="宋体" w:hAnsi="宋体" w:eastAsia="宋体"/>
          <w:color w:val="000000" w:themeColor="text1"/>
          <w:kern w:val="0"/>
          <w:szCs w:val="21"/>
          <w14:textFill>
            <w14:solidFill>
              <w14:schemeClr w14:val="tx1"/>
            </w14:solidFill>
          </w14:textFill>
        </w:rPr>
        <w:t>、委托</w:t>
      </w:r>
      <w:r>
        <w:rPr>
          <w:rFonts w:ascii="宋体" w:hAnsi="宋体" w:eastAsia="宋体"/>
          <w:color w:val="000000" w:themeColor="text1"/>
          <w:kern w:val="0"/>
          <w:szCs w:val="21"/>
          <w14:textFill>
            <w14:solidFill>
              <w14:schemeClr w14:val="tx1"/>
            </w14:solidFill>
          </w14:textFill>
        </w:rPr>
        <w:t>业务</w:t>
      </w:r>
      <w:r>
        <w:rPr>
          <w:rFonts w:hint="eastAsia" w:ascii="宋体" w:hAnsi="宋体" w:eastAsia="宋体"/>
          <w:color w:val="000000" w:themeColor="text1"/>
          <w:kern w:val="0"/>
          <w:szCs w:val="21"/>
          <w14:textFill>
            <w14:solidFill>
              <w14:schemeClr w14:val="tx1"/>
            </w14:solidFill>
          </w14:textFill>
        </w:rPr>
        <w:t>费等</w:t>
      </w:r>
      <w:r>
        <w:rPr>
          <w:rFonts w:ascii="宋体" w:hAnsi="宋体" w:eastAsia="宋体"/>
          <w:color w:val="000000" w:themeColor="text1"/>
          <w:kern w:val="0"/>
          <w:szCs w:val="21"/>
          <w14:textFill>
            <w14:solidFill>
              <w14:schemeClr w14:val="tx1"/>
            </w14:solidFill>
          </w14:textFill>
        </w:rPr>
        <w:t>费用。</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政府</w:t>
      </w:r>
      <w:r>
        <w:rPr>
          <w:rFonts w:ascii="宋体" w:hAnsi="宋体" w:eastAsia="宋体"/>
          <w:color w:val="000000" w:themeColor="text1"/>
          <w:kern w:val="0"/>
          <w:szCs w:val="21"/>
          <w14:textFill>
            <w14:solidFill>
              <w14:schemeClr w14:val="tx1"/>
            </w14:solidFill>
          </w14:textFill>
        </w:rPr>
        <w:t>采购总价为58.81</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货</w:t>
      </w:r>
      <w:r>
        <w:rPr>
          <w:rFonts w:ascii="宋体" w:hAnsi="宋体" w:eastAsia="宋体"/>
          <w:color w:val="000000" w:themeColor="text1"/>
          <w:kern w:val="0"/>
          <w:szCs w:val="21"/>
          <w14:textFill>
            <w14:solidFill>
              <w14:schemeClr w14:val="tx1"/>
            </w14:solidFill>
          </w14:textFill>
        </w:rPr>
        <w:t>物采购8.85</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工程</w:t>
      </w:r>
      <w:r>
        <w:rPr>
          <w:rFonts w:hint="eastAsia" w:ascii="宋体" w:hAnsi="宋体" w:eastAsia="宋体"/>
          <w:color w:val="000000" w:themeColor="text1"/>
          <w:kern w:val="0"/>
          <w:szCs w:val="21"/>
          <w14:textFill>
            <w14:solidFill>
              <w14:schemeClr w14:val="tx1"/>
            </w14:solidFill>
          </w14:textFill>
        </w:rPr>
        <w:t>采</w:t>
      </w:r>
      <w:r>
        <w:rPr>
          <w:rFonts w:ascii="宋体" w:hAnsi="宋体" w:eastAsia="宋体"/>
          <w:color w:val="000000" w:themeColor="text1"/>
          <w:kern w:val="0"/>
          <w:szCs w:val="21"/>
          <w14:textFill>
            <w14:solidFill>
              <w14:schemeClr w14:val="tx1"/>
            </w14:solidFill>
          </w14:textFill>
        </w:rPr>
        <w:t>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，服务</w:t>
      </w:r>
      <w:r>
        <w:rPr>
          <w:rFonts w:ascii="宋体" w:hAnsi="宋体" w:eastAsia="宋体"/>
          <w:color w:val="000000" w:themeColor="text1"/>
          <w:kern w:val="0"/>
          <w:szCs w:val="21"/>
          <w14:textFill>
            <w14:solidFill>
              <w14:schemeClr w14:val="tx1"/>
            </w14:solidFill>
          </w14:textFill>
        </w:rPr>
        <w:t>采购49.96</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（1）房屋情况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截止202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年12月31日，</w:t>
      </w:r>
      <w:r>
        <w:rPr>
          <w:rFonts w:ascii="宋体" w:hAnsi="宋体" w:eastAsia="宋体"/>
          <w:color w:val="000000" w:themeColor="text1"/>
          <w:kern w:val="0"/>
          <w:szCs w:val="21"/>
          <w14:textFill>
            <w14:solidFill>
              <w14:schemeClr w14:val="tx1"/>
            </w14:solidFill>
          </w14:textFill>
        </w:rPr>
        <w:t xml:space="preserve"> </w:t>
      </w:r>
      <w:r>
        <w:rPr>
          <w:rFonts w:hint="eastAsia" w:ascii="宋体" w:hAnsi="宋体" w:eastAsia="宋体"/>
          <w:color w:val="000000" w:themeColor="text1"/>
          <w:kern w:val="0"/>
          <w:szCs w:val="21"/>
          <w14:textFill>
            <w14:solidFill>
              <w14:schemeClr w14:val="tx1"/>
            </w14:solidFill>
          </w14:textFill>
        </w:rPr>
        <w:t>我</w:t>
      </w:r>
      <w:r>
        <w:rPr>
          <w:rFonts w:ascii="宋体" w:hAnsi="宋体" w:eastAsia="宋体"/>
          <w:color w:val="000000" w:themeColor="text1"/>
          <w:kern w:val="0"/>
          <w:szCs w:val="21"/>
          <w14:textFill>
            <w14:solidFill>
              <w14:schemeClr w14:val="tx1"/>
            </w14:solidFill>
          </w14:textFill>
        </w:rPr>
        <w:t>单位</w:t>
      </w:r>
      <w:r>
        <w:rPr>
          <w:rFonts w:hint="eastAsia" w:ascii="宋体" w:hAnsi="宋体" w:eastAsia="宋体"/>
          <w:color w:val="000000" w:themeColor="text1"/>
          <w:kern w:val="0"/>
          <w:szCs w:val="21"/>
          <w14:textFill>
            <w14:solidFill>
              <w14:schemeClr w14:val="tx1"/>
            </w14:solidFill>
          </w14:textFill>
        </w:rPr>
        <w:t>产</w:t>
      </w:r>
      <w:r>
        <w:rPr>
          <w:rFonts w:ascii="宋体" w:hAnsi="宋体" w:eastAsia="宋体"/>
          <w:color w:val="000000" w:themeColor="text1"/>
          <w:kern w:val="0"/>
          <w:szCs w:val="21"/>
          <w14:textFill>
            <w14:solidFill>
              <w14:schemeClr w14:val="tx1"/>
            </w14:solidFill>
          </w14:textFill>
        </w:rPr>
        <w:t>权房屋面积为5511.7</w:t>
      </w:r>
      <w:r>
        <w:rPr>
          <w:rFonts w:hint="eastAsia" w:ascii="宋体" w:hAnsi="宋体" w:eastAsia="宋体"/>
          <w:color w:val="000000" w:themeColor="text1"/>
          <w:kern w:val="0"/>
          <w:szCs w:val="21"/>
          <w14:textFill>
            <w14:solidFill>
              <w14:schemeClr w14:val="tx1"/>
            </w14:solidFill>
          </w14:textFill>
        </w:rPr>
        <w:t>平</w:t>
      </w:r>
      <w:r>
        <w:rPr>
          <w:rFonts w:ascii="宋体" w:hAnsi="宋体" w:eastAsia="宋体"/>
          <w:color w:val="000000" w:themeColor="text1"/>
          <w:kern w:val="0"/>
          <w:szCs w:val="21"/>
          <w14:textFill>
            <w14:solidFill>
              <w14:schemeClr w14:val="tx1"/>
            </w14:solidFill>
          </w14:textFill>
        </w:rPr>
        <w:t>方米，</w:t>
      </w:r>
      <w:r>
        <w:rPr>
          <w:rFonts w:hint="eastAsia" w:ascii="宋体" w:hAnsi="宋体" w:eastAsia="宋体"/>
          <w:color w:val="000000" w:themeColor="text1"/>
          <w:kern w:val="0"/>
          <w:szCs w:val="21"/>
          <w14:textFill>
            <w14:solidFill>
              <w14:schemeClr w14:val="tx1"/>
            </w14:solidFill>
          </w14:textFill>
        </w:rPr>
        <w:t>价值</w:t>
      </w:r>
      <w:r>
        <w:rPr>
          <w:rFonts w:ascii="宋体" w:hAnsi="宋体" w:eastAsia="宋体"/>
          <w:color w:val="000000" w:themeColor="text1"/>
          <w:kern w:val="0"/>
          <w:szCs w:val="21"/>
          <w14:textFill>
            <w14:solidFill>
              <w14:schemeClr w14:val="tx1"/>
            </w14:solidFill>
          </w14:textFill>
        </w:rPr>
        <w:t>369.31万元。</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（2）车辆情况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 xml:space="preserve"> 单位账</w:t>
      </w:r>
      <w:r>
        <w:rPr>
          <w:rFonts w:ascii="宋体" w:hAnsi="宋体" w:eastAsia="宋体"/>
          <w:color w:val="000000" w:themeColor="text1"/>
          <w:kern w:val="0"/>
          <w:szCs w:val="21"/>
          <w14:textFill>
            <w14:solidFill>
              <w14:schemeClr w14:val="tx1"/>
            </w14:solidFill>
          </w14:textFill>
        </w:rPr>
        <w:t>面车辆为22</w:t>
      </w:r>
      <w:r>
        <w:rPr>
          <w:rFonts w:hint="eastAsia" w:ascii="宋体" w:hAnsi="宋体" w:eastAsia="宋体"/>
          <w:color w:val="000000" w:themeColor="text1"/>
          <w:kern w:val="0"/>
          <w:szCs w:val="21"/>
          <w14:textFill>
            <w14:solidFill>
              <w14:schemeClr w14:val="tx1"/>
            </w14:solidFill>
          </w14:textFill>
        </w:rPr>
        <w:t>辆</w:t>
      </w:r>
      <w:r>
        <w:rPr>
          <w:rFonts w:ascii="宋体" w:hAnsi="宋体" w:eastAsia="宋体"/>
          <w:color w:val="000000" w:themeColor="text1"/>
          <w:kern w:val="0"/>
          <w:szCs w:val="21"/>
          <w14:textFill>
            <w14:solidFill>
              <w14:schemeClr w14:val="tx1"/>
            </w14:solidFill>
          </w14:textFill>
        </w:rPr>
        <w:t>，价值234.82</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w:t>
      </w:r>
    </w:p>
    <w:p>
      <w:pPr>
        <w:ind w:firstLine="420" w:firstLineChars="200"/>
        <w:rPr>
          <w:rFonts w:hint="eastAsia" w:ascii="宋体" w:hAnsi="宋体" w:eastAsia="宋体"/>
          <w:color w:val="000000" w:themeColor="text1"/>
          <w:kern w:val="0"/>
          <w:szCs w:val="21"/>
          <w:lang w:eastAsia="zh-CN"/>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pPr>
        <w:pStyle w:val="3"/>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（1）预算绩效管理工作开展情况。</w:t>
      </w:r>
    </w:p>
    <w:p>
      <w:pPr>
        <w:pStyle w:val="3"/>
        <w:keepNext w:val="0"/>
        <w:keepLines w:val="0"/>
        <w:pageBreakBefore w:val="0"/>
        <w:widowControl w:val="0"/>
        <w:kinsoku/>
        <w:wordWrap/>
        <w:overflowPunct/>
        <w:topLinePunct w:val="0"/>
        <w:autoSpaceDE/>
        <w:autoSpaceDN/>
        <w:bidi w:val="0"/>
        <w:adjustRightInd/>
        <w:snapToGrid/>
        <w:ind w:firstLine="600" w:firstLineChars="200"/>
        <w:textAlignment w:val="auto"/>
        <w:rPr>
          <w:rFonts w:hint="default"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根据预算绩效管理要求，我部门组织对2021年度县财政预算安排的专项资金类12个项目支出全面开展</w:t>
      </w:r>
      <w:r>
        <w:rPr>
          <w:rFonts w:hint="eastAsia" w:ascii="仿宋" w:hAnsi="仿宋" w:eastAsia="仿宋" w:cs="仿宋"/>
          <w:b/>
          <w:bCs/>
          <w:color w:val="auto"/>
          <w:kern w:val="2"/>
          <w:sz w:val="30"/>
          <w:szCs w:val="30"/>
          <w:lang w:val="en-US" w:eastAsia="zh-CN" w:bidi="ar-SA"/>
        </w:rPr>
        <w:t>绩效自评</w:t>
      </w:r>
      <w:r>
        <w:rPr>
          <w:rFonts w:hint="eastAsia" w:ascii="仿宋" w:hAnsi="仿宋" w:eastAsia="仿宋" w:cs="仿宋"/>
          <w:color w:val="auto"/>
          <w:kern w:val="2"/>
          <w:sz w:val="30"/>
          <w:szCs w:val="30"/>
          <w:lang w:val="en-US" w:eastAsia="zh-CN" w:bidi="ar-SA"/>
        </w:rPr>
        <w:t>，涉及预算资金126.58万元，占一般公共预算项目支出总额的100%。我局无政府性基金预算项目支出，没有对2021年度政府性基金预算项目支出开展绩效评价。</w:t>
      </w:r>
    </w:p>
    <w:p>
      <w:pPr>
        <w:pStyle w:val="3"/>
        <w:keepNext w:val="0"/>
        <w:keepLines w:val="0"/>
        <w:pageBreakBefore w:val="0"/>
        <w:widowControl w:val="0"/>
        <w:numPr>
          <w:ilvl w:val="0"/>
          <w:numId w:val="2"/>
        </w:numPr>
        <w:kinsoku/>
        <w:wordWrap/>
        <w:overflowPunct/>
        <w:topLinePunct w:val="0"/>
        <w:autoSpaceDE/>
        <w:autoSpaceDN/>
        <w:bidi w:val="0"/>
        <w:adjustRightInd/>
        <w:snapToGrid/>
        <w:ind w:firstLine="600" w:firstLineChars="200"/>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部门决算中项目</w:t>
      </w:r>
      <w:r>
        <w:rPr>
          <w:rFonts w:hint="eastAsia" w:ascii="仿宋" w:hAnsi="仿宋" w:eastAsia="仿宋" w:cs="仿宋"/>
          <w:b/>
          <w:bCs/>
          <w:color w:val="auto"/>
          <w:kern w:val="2"/>
          <w:sz w:val="30"/>
          <w:szCs w:val="30"/>
          <w:lang w:val="en-US" w:eastAsia="zh-CN" w:bidi="ar-SA"/>
        </w:rPr>
        <w:t>绩效自评</w:t>
      </w:r>
      <w:r>
        <w:rPr>
          <w:rFonts w:hint="eastAsia" w:ascii="仿宋" w:hAnsi="仿宋" w:eastAsia="仿宋" w:cs="仿宋"/>
          <w:color w:val="auto"/>
          <w:kern w:val="2"/>
          <w:sz w:val="30"/>
          <w:szCs w:val="30"/>
          <w:lang w:val="en-US" w:eastAsia="zh-CN" w:bidi="ar-SA"/>
        </w:rPr>
        <w:t>结果。</w:t>
      </w:r>
    </w:p>
    <w:p>
      <w:pPr>
        <w:pStyle w:val="3"/>
        <w:keepNext w:val="0"/>
        <w:keepLines w:val="0"/>
        <w:pageBreakBefore w:val="0"/>
        <w:widowControl w:val="0"/>
        <w:numPr>
          <w:ilvl w:val="0"/>
          <w:numId w:val="0"/>
        </w:numPr>
        <w:kinsoku/>
        <w:wordWrap/>
        <w:overflowPunct/>
        <w:topLinePunct w:val="0"/>
        <w:autoSpaceDE/>
        <w:autoSpaceDN/>
        <w:bidi w:val="0"/>
        <w:adjustRightInd/>
        <w:snapToGrid/>
        <w:ind w:firstLine="900" w:firstLineChars="300"/>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2021年度食品安全抽检监测工作项目绩效自评综述：根据年初设定的绩效目标，项目自评得分为88.68分。全年预算数为55.16万元，执行数为53.37万元，完成预算的96.75%。项目绩效目标完成情况：一是按照专项资金使用方案圆满完成了食品安全抽检监测任务，顺利通过上级考核；二是绩效各项指标基本符合期初设定，未发生偏离；三是通过项目的开展，使我局食品安全监管技术手段得以提升，监管能力也有所提高。发现的主要问题及原因：一是绩效评价工作仍需进一步巩固完善；二是绩效目标需进一步细化；三是对绩效评价工作的认识和重视程度需进一步提高。下一步改进措施：一是我们将进一步立足工作实际，进一步提高对绩效评价工作的认识；二是科学合理地制定绩效目标，使绩效评价工作进一步完善提高。</w:t>
      </w:r>
    </w:p>
    <w:p>
      <w:pPr>
        <w:pStyle w:val="3"/>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2021年度基层市场监管省级财政补助资金项目绩效自评综述：根据年初设定的绩效目标，项目自评得分为96分。全年预算数为5万元，执行数为5万元，完成预算的100%。项目绩效目标完成情况：一是绩效各项指标基本符合期初设定，未发生偏离；二是扩充了基层执法装备，使市场监管能力得以提升。发现的主要问题及原因：一是绩效评价工作仍需进一步巩固完善；二是绩效目标需进一步细化；三是对绩效评价工作的认识和重视程度需进一步提高。下一步改进措施：一是我们将进一步立足工作实际，进一步提高对绩效评价工作的认识；二是科学合理地制定绩效目标，使绩效评价工作进一步完善提高。</w:t>
      </w:r>
    </w:p>
    <w:p>
      <w:pPr>
        <w:pStyle w:val="3"/>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ascii="仿宋" w:hAnsi="仿宋" w:eastAsia="仿宋" w:cs="仿宋"/>
          <w:color w:val="auto"/>
          <w:kern w:val="2"/>
          <w:sz w:val="30"/>
          <w:szCs w:val="30"/>
          <w:lang w:val="en-US" w:eastAsia="zh-CN" w:bidi="ar-SA"/>
        </w:rPr>
        <w:t>标准化、质量发展工作项目绩效自评综述：根据年初设定的绩效目标，项目自评得分为96.95分。全年预算数为15万元，执行数为15万元，完成预算的100%。项目绩效目标完成情况：一是按照年初目标圆满完成了各项任务；二是绩效各项指标基本符合期初设定，未发生偏离；三是通过项目的实施，使单位行政工作成本有所下降，单位工作效率有所提升，标准化、质量发展工作水平有所提高。发现的主要问题及原因：一是绩效评价工作仍需进一步巩固完善；二是绩效目标需进一步细化；三是对绩效评价工作的认识和重视程度需进一步提高。下一步改进措施：一是我们将进一步立足工作实际，进一步提高对绩效评价工作的认识；二是科学合理地制定绩效目标，使绩效评价工作进一步完善提高。</w:t>
      </w:r>
    </w:p>
    <w:p>
      <w:pPr>
        <w:ind w:firstLine="420" w:firstLineChars="200"/>
        <w:rPr>
          <w:rFonts w:ascii="黑体" w:hAnsi="黑体" w:eastAsia="黑体"/>
          <w:color w:val="000000" w:themeColor="text1"/>
          <w:kern w:val="0"/>
          <w:szCs w:val="21"/>
          <w14:textFill>
            <w14:solidFill>
              <w14:schemeClr w14:val="tx1"/>
            </w14:solidFill>
          </w14:textFill>
        </w:rPr>
      </w:pPr>
      <w:r>
        <w:rPr>
          <w:rFonts w:hint="eastAsia" w:ascii="黑体" w:hAnsi="黑体" w:eastAsia="黑体"/>
          <w:color w:val="000000" w:themeColor="text1"/>
          <w:kern w:val="0"/>
          <w:szCs w:val="21"/>
          <w14:textFill>
            <w14:solidFill>
              <w14:schemeClr w14:val="tx1"/>
            </w14:solidFill>
          </w14:textFill>
        </w:rPr>
        <w:t>第四</w:t>
      </w:r>
      <w:r>
        <w:rPr>
          <w:rFonts w:ascii="黑体" w:hAnsi="黑体" w:eastAsia="黑体"/>
          <w:color w:val="000000" w:themeColor="text1"/>
          <w:kern w:val="0"/>
          <w:szCs w:val="21"/>
          <w14:textFill>
            <w14:solidFill>
              <w14:schemeClr w14:val="tx1"/>
            </w14:solidFill>
          </w14:textFill>
        </w:rPr>
        <w:t>部分</w:t>
      </w:r>
      <w:r>
        <w:rPr>
          <w:rFonts w:hint="eastAsia" w:ascii="黑体" w:hAnsi="黑体" w:eastAsia="黑体"/>
          <w:color w:val="000000" w:themeColor="text1"/>
          <w:kern w:val="0"/>
          <w:szCs w:val="21"/>
          <w14:textFill>
            <w14:solidFill>
              <w14:schemeClr w14:val="tx1"/>
            </w14:solidFill>
          </w14:textFill>
        </w:rPr>
        <w:t xml:space="preserve"> 部</w:t>
      </w:r>
      <w:r>
        <w:rPr>
          <w:rFonts w:ascii="黑体" w:hAnsi="黑体" w:eastAsia="黑体"/>
          <w:color w:val="000000" w:themeColor="text1"/>
          <w:kern w:val="0"/>
          <w:szCs w:val="21"/>
          <w14:textFill>
            <w14:solidFill>
              <w14:schemeClr w14:val="tx1"/>
            </w14:solidFill>
          </w14:textFill>
        </w:rPr>
        <w:t>门</w:t>
      </w:r>
      <w:r>
        <w:rPr>
          <w:rFonts w:hint="eastAsia" w:ascii="黑体" w:hAnsi="黑体" w:eastAsia="黑体"/>
          <w:color w:val="000000" w:themeColor="text1"/>
          <w:kern w:val="0"/>
          <w:szCs w:val="21"/>
          <w14:textFill>
            <w14:solidFill>
              <w14:schemeClr w14:val="tx1"/>
            </w14:solidFill>
          </w14:textFill>
        </w:rPr>
        <w:t>名词解释</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一、财政拨款：财政拨款包括一般公共预算财政拨款、政府性基金预算财政拨款和国有资本经营预算财政拨款。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w:t>
      </w:r>
      <w:r>
        <w:rPr>
          <w:rFonts w:hint="eastAsia" w:ascii="宋体" w:hAnsi="宋体" w:eastAsia="宋体"/>
          <w:color w:val="000000" w:themeColor="text1"/>
          <w:kern w:val="0"/>
          <w:szCs w:val="21"/>
          <w14:textFill>
            <w14:solidFill>
              <w14:schemeClr w14:val="tx1"/>
            </w14:solidFill>
          </w14:textFill>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w:t>
      </w:r>
      <w:r>
        <w:rPr>
          <w:rFonts w:hint="eastAsia" w:ascii="宋体" w:hAnsi="宋体" w:eastAsia="宋体"/>
          <w:color w:val="000000" w:themeColor="text1"/>
          <w:kern w:val="0"/>
          <w:szCs w:val="21"/>
          <w14:textFill>
            <w14:solidFill>
              <w14:schemeClr w14:val="tx1"/>
            </w14:solidFill>
          </w14:textFill>
        </w:rPr>
        <w:t>、国有资本经营预算。是国家以所有者身份依法取得国有资本收益，并对所得收益进行分配而发生的各项收支预算。国有资本经营预算应当按照收支平衡原则编制，不列赤字，并安排资金调入一般公共预算。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一级预算单位收到的应拨给下级单位使用的款项，年终决算时尚未拨出的，在编报时列为本单位财政拨款。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2、上级补助收入：填列事业单位从主管部门和上级单位取得的非财政补助收入。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4、经营收入：填列事业单位在专业业务活动及其辅助活动之外开展非独立核算经营活动取得的收入。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5、附属单位上缴收入：填列事业单位附独立核算单位按照有关规定上缴的收入。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三、支</w:t>
      </w:r>
      <w:r>
        <w:rPr>
          <w:rFonts w:ascii="宋体" w:hAnsi="宋体" w:eastAsia="宋体"/>
          <w:color w:val="000000" w:themeColor="text1"/>
          <w:kern w:val="0"/>
          <w:szCs w:val="21"/>
          <w14:textFill>
            <w14:solidFill>
              <w14:schemeClr w14:val="tx1"/>
            </w14:solidFill>
          </w14:textFill>
        </w:rPr>
        <w:t>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1、基本支出：填列单位为保障机构正常运转、完成日常工作任务而发生的各项支出。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2、项目支出：填列单位为完成特定的行政工作任务或事业发展目标，在基本支出之外发生的各项支出。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3、上缴上级支出：填列事业单位按照财政部门和主管部门的规定上缴上级单位的支出。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4、经营支出：填列事业单位在专业活动及辅助活动之外开展非独立核算经营活动发生的支出。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5、附属单位补助支出：填列事业单位用财政补助收入之外的收入对附属单位补助发生的支出。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6、主管部门在汇总决算时，应使用调整表对“上缴上级支出”“对附属单位补助支出”与收入表中“附属单位上缴收入”“上级补助收入”进行冲抵。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四、“三公”经费：一般公共预算安排的因公出国（境）费、公务用车购置及运行费和公务接待费。</w:t>
      </w:r>
    </w:p>
    <w:p>
      <w:pPr>
        <w:rPr>
          <w:rFonts w:hint="eastAsia"/>
          <w:color w:val="000000" w:themeColor="text1"/>
          <w14:textFill>
            <w14:solidFill>
              <w14:schemeClr w14:val="tx1"/>
            </w14:solidFill>
          </w14:textFill>
        </w:rPr>
      </w:pP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浑源县市场监督管理局</w:t>
      </w:r>
    </w:p>
    <w:p>
      <w:pPr>
        <w:ind w:firstLine="5670" w:firstLineChars="2700"/>
        <w:rPr>
          <w:color w:val="000000" w:themeColor="text1"/>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bookmarkStart w:id="0" w:name="_GoBack"/>
      <w:bookmarkEnd w:id="0"/>
      <w:r>
        <w:rPr>
          <w:rFonts w:hint="eastAsia"/>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2022年7月</w:t>
      </w:r>
      <w:r>
        <w:rPr>
          <w:color w:val="000000" w:themeColor="text1"/>
          <w14:textFill>
            <w14:solidFill>
              <w14:schemeClr w14:val="tx1"/>
            </w14:solidFill>
          </w14:textFill>
        </w:rPr>
        <w:t>15</w:t>
      </w:r>
      <w:r>
        <w:rPr>
          <w:rFonts w:hint="eastAsia"/>
          <w:color w:val="000000" w:themeColor="text1"/>
          <w14:textFill>
            <w14:solidFill>
              <w14:schemeClr w14:val="tx1"/>
            </w14:solidFill>
          </w14:textFill>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740BA9"/>
    <w:multiLevelType w:val="singleLevel"/>
    <w:tmpl w:val="F9740BA9"/>
    <w:lvl w:ilvl="0" w:tentative="0">
      <w:start w:val="2"/>
      <w:numFmt w:val="chineseCounting"/>
      <w:suff w:val="nothing"/>
      <w:lvlText w:val="%1、"/>
      <w:lvlJc w:val="left"/>
      <w:rPr>
        <w:rFonts w:hint="eastAsia"/>
      </w:rPr>
    </w:lvl>
  </w:abstractNum>
  <w:abstractNum w:abstractNumId="1">
    <w:nsid w:val="3A83FD03"/>
    <w:multiLevelType w:val="singleLevel"/>
    <w:tmpl w:val="3A83FD03"/>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wNjI2M2FiNDMxZjk2OWE2MWY1OTkzYTczYjRlZGQifQ=="/>
  </w:docVars>
  <w:rsids>
    <w:rsidRoot w:val="75EF6884"/>
    <w:rsid w:val="0BC068E1"/>
    <w:rsid w:val="75EF68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libri Light" w:hAnsi="Calibri Light" w:cs="Times New Roman"/>
      <w:b/>
      <w:bCs/>
      <w:sz w:val="32"/>
      <w:szCs w:val="32"/>
    </w:rPr>
  </w:style>
  <w:style w:type="paragraph" w:styleId="3">
    <w:name w:val="Plain Text"/>
    <w:basedOn w:val="1"/>
    <w:qFormat/>
    <w:uiPriority w:val="0"/>
    <w:rPr>
      <w:rFonts w:ascii="宋体" w:hAnsi="Courier New"/>
      <w:szCs w:val="20"/>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4391</Words>
  <Characters>4673</Characters>
  <Lines>0</Lines>
  <Paragraphs>0</Paragraphs>
  <TotalTime>2</TotalTime>
  <ScaleCrop>false</ScaleCrop>
  <LinksUpToDate>false</LinksUpToDate>
  <CharactersWithSpaces>4815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2022-07-13T03:29:00Z</dcterms:created>
  <dc:creator>Administrator</dc:creator>
  <cp:lastModifiedBy>Administrator</cp:lastModifiedBy>
  <dcterms:modified xsi:type="dcterms:W3CDTF">2022-07-22T07:56:42Z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10D1961E736A492DAEDB3A47BD6B2B13</vt:lpwstr>
  </property>
</Properties>
</file>