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浑源县文化和旅游局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第一部分：浑源县文化和旅游局概况</w:t>
      </w:r>
    </w:p>
    <w:p>
      <w:pPr>
        <w:pStyle w:val="5"/>
        <w:numPr>
          <w:ilvl w:val="0"/>
          <w:numId w:val="1"/>
        </w:numPr>
        <w:ind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5"/>
        <w:spacing w:line="360" w:lineRule="auto"/>
        <w:ind w:left="840" w:firstLine="0" w:firstLineChars="0"/>
        <w:rPr>
          <w:rFonts w:hint="eastAsia" w:ascii="仿宋" w:hAnsi="仿宋" w:eastAsia="仿宋" w:cs="仿宋"/>
          <w:kern w:val="0"/>
          <w:sz w:val="32"/>
          <w:szCs w:val="32"/>
          <w:shd w:val="clear" w:color="auto" w:fill="FFFFFF"/>
          <w:lang w:bidi="ar"/>
        </w:rPr>
      </w:pPr>
      <w:r>
        <w:rPr>
          <w:rFonts w:hint="eastAsia" w:ascii="仿宋" w:hAnsi="仿宋" w:eastAsia="仿宋" w:cs="仿宋"/>
          <w:kern w:val="0"/>
          <w:sz w:val="32"/>
          <w:szCs w:val="32"/>
          <w:shd w:val="clear" w:color="auto" w:fill="FFFFFF"/>
          <w:lang w:bidi="ar"/>
        </w:rPr>
        <w:t>（一）贯彻落实党和国家文化、旅游、文物工作的方针政策和法律法规，研究拟订全县文化和旅游政策措施。</w:t>
      </w:r>
    </w:p>
    <w:p>
      <w:pPr>
        <w:pStyle w:val="5"/>
        <w:spacing w:line="360" w:lineRule="auto"/>
        <w:ind w:left="840" w:firstLine="0" w:firstLineChars="0"/>
        <w:rPr>
          <w:rFonts w:hint="eastAsia" w:ascii="仿宋" w:hAnsi="仿宋" w:eastAsia="仿宋" w:cs="仿宋"/>
          <w:kern w:val="0"/>
          <w:sz w:val="32"/>
          <w:szCs w:val="32"/>
          <w:shd w:val="clear" w:color="auto" w:fill="FFFFFF"/>
          <w:lang w:bidi="ar"/>
        </w:rPr>
      </w:pPr>
      <w:r>
        <w:rPr>
          <w:rFonts w:hint="eastAsia" w:ascii="仿宋" w:hAnsi="仿宋" w:eastAsia="仿宋" w:cs="仿宋"/>
          <w:kern w:val="0"/>
          <w:sz w:val="32"/>
          <w:szCs w:val="32"/>
          <w:shd w:val="clear" w:color="auto" w:fill="FFFFFF"/>
          <w:lang w:bidi="ar"/>
        </w:rPr>
        <w:t>（二）统筹规划全县文化事业、文化产业及旅游业发展，拟订发展规划并组织实施，推进文化和旅游融合发展，推进文化和旅游体制机制改革。</w:t>
      </w:r>
    </w:p>
    <w:p>
      <w:pPr>
        <w:pStyle w:val="5"/>
        <w:spacing w:line="360" w:lineRule="auto"/>
        <w:ind w:left="840" w:firstLine="0" w:firstLineChars="0"/>
        <w:rPr>
          <w:rFonts w:hint="eastAsia" w:ascii="仿宋" w:hAnsi="仿宋" w:eastAsia="仿宋" w:cs="仿宋"/>
          <w:kern w:val="0"/>
          <w:sz w:val="32"/>
          <w:szCs w:val="32"/>
          <w:shd w:val="clear" w:color="auto" w:fill="FFFFFF"/>
          <w:lang w:bidi="ar"/>
        </w:rPr>
      </w:pPr>
      <w:r>
        <w:rPr>
          <w:rFonts w:hint="eastAsia" w:ascii="仿宋" w:hAnsi="仿宋" w:eastAsia="仿宋" w:cs="仿宋"/>
          <w:kern w:val="0"/>
          <w:sz w:val="32"/>
          <w:szCs w:val="32"/>
          <w:shd w:val="clear" w:color="auto" w:fill="FFFFFF"/>
          <w:lang w:bidi="ar"/>
        </w:rPr>
        <w:t>（三）管理全县性重大文化、旅游，指导县文化和旅游重点设施和公共基础设施建设，组织全县旅游整体形象和重点品牌推广，促进文化、旅游对外合作和市场推广，制定全县旅游市场开发规划并组织实施，指导、推进全域旅游。</w:t>
      </w:r>
    </w:p>
    <w:p>
      <w:pPr>
        <w:pStyle w:val="5"/>
        <w:spacing w:line="360" w:lineRule="auto"/>
        <w:ind w:left="840" w:firstLine="0" w:firstLineChars="0"/>
        <w:rPr>
          <w:rFonts w:hint="eastAsia" w:ascii="仿宋" w:hAnsi="仿宋" w:eastAsia="仿宋" w:cs="仿宋"/>
          <w:kern w:val="0"/>
          <w:sz w:val="32"/>
          <w:szCs w:val="32"/>
          <w:shd w:val="clear" w:color="auto" w:fill="FFFFFF"/>
          <w:lang w:bidi="ar"/>
        </w:rPr>
      </w:pPr>
      <w:r>
        <w:rPr>
          <w:rFonts w:hint="eastAsia" w:ascii="仿宋" w:hAnsi="仿宋" w:eastAsia="仿宋" w:cs="仿宋"/>
          <w:kern w:val="0"/>
          <w:sz w:val="32"/>
          <w:szCs w:val="32"/>
          <w:shd w:val="clear" w:color="auto" w:fill="FFFFFF"/>
          <w:lang w:bidi="ar"/>
        </w:rPr>
        <w:t>（四）指导、管理全县文艺事业，指导全县艺术创作生产，扶持体现社会主义核心价值观、具有导向性代表性示范性的文艺作品，推动各门类艺术、各艺术品种发展。</w:t>
      </w:r>
    </w:p>
    <w:p>
      <w:pPr>
        <w:pStyle w:val="5"/>
        <w:spacing w:line="360" w:lineRule="auto"/>
        <w:ind w:left="840" w:firstLine="0" w:firstLineChars="0"/>
        <w:rPr>
          <w:rFonts w:hint="eastAsia" w:ascii="仿宋" w:hAnsi="仿宋" w:eastAsia="仿宋" w:cs="仿宋"/>
          <w:kern w:val="0"/>
          <w:sz w:val="32"/>
          <w:szCs w:val="32"/>
          <w:shd w:val="clear" w:color="auto" w:fill="FFFFFF"/>
          <w:lang w:bidi="ar"/>
        </w:rPr>
      </w:pPr>
      <w:r>
        <w:rPr>
          <w:rFonts w:hint="eastAsia" w:ascii="仿宋" w:hAnsi="仿宋" w:eastAsia="仿宋" w:cs="仿宋"/>
          <w:kern w:val="0"/>
          <w:sz w:val="32"/>
          <w:szCs w:val="32"/>
          <w:shd w:val="clear" w:color="auto" w:fill="FFFFFF"/>
          <w:lang w:bidi="ar"/>
        </w:rPr>
        <w:t>（五）负责全县公共文化事业发展，推进公共文化服务体系建设和旅游，深入实施文化和旅游惠民工程，组织实施重大公益工程和公益活动，推进基本公共文化服务标准化、均等化。</w:t>
      </w:r>
    </w:p>
    <w:p>
      <w:pPr>
        <w:spacing w:line="360" w:lineRule="auto"/>
        <w:ind w:left="420" w:firstLine="320" w:firstLineChars="100"/>
        <w:rPr>
          <w:rFonts w:hint="eastAsia" w:ascii="仿宋" w:hAnsi="仿宋" w:eastAsia="仿宋" w:cs="仿宋"/>
          <w:kern w:val="0"/>
          <w:sz w:val="32"/>
          <w:szCs w:val="32"/>
          <w:shd w:val="clear" w:color="auto" w:fill="FFFFFF"/>
          <w:lang w:bidi="ar"/>
        </w:rPr>
      </w:pPr>
      <w:r>
        <w:rPr>
          <w:rFonts w:hint="eastAsia" w:ascii="仿宋" w:hAnsi="仿宋" w:eastAsia="仿宋" w:cs="仿宋"/>
          <w:kern w:val="0"/>
          <w:sz w:val="32"/>
          <w:szCs w:val="32"/>
          <w:shd w:val="clear" w:color="auto" w:fill="FFFFFF"/>
          <w:lang w:bidi="ar"/>
        </w:rPr>
        <w:t>（六）负责全县非物质文化遗产保护，拟订非物质文化遗产保护规划，推动非物质文化遗产的保护、传承、普及、弘扬和振兴。</w:t>
      </w:r>
    </w:p>
    <w:p>
      <w:pPr>
        <w:spacing w:line="360" w:lineRule="auto"/>
        <w:ind w:left="420" w:firstLine="320" w:firstLineChars="100"/>
        <w:rPr>
          <w:rFonts w:hint="eastAsia" w:ascii="仿宋" w:hAnsi="仿宋" w:eastAsia="仿宋" w:cs="仿宋"/>
          <w:kern w:val="0"/>
          <w:sz w:val="32"/>
          <w:szCs w:val="32"/>
          <w:shd w:val="clear" w:color="auto" w:fill="FFFFFF"/>
          <w:lang w:bidi="ar"/>
        </w:rPr>
      </w:pPr>
      <w:r>
        <w:rPr>
          <w:rFonts w:hint="eastAsia" w:ascii="仿宋" w:hAnsi="仿宋" w:eastAsia="仿宋" w:cs="仿宋"/>
          <w:kern w:val="0"/>
          <w:sz w:val="32"/>
          <w:szCs w:val="32"/>
          <w:shd w:val="clear" w:color="auto" w:fill="FFFFFF"/>
          <w:lang w:bidi="ar"/>
        </w:rPr>
        <w:t>（七）管理全县文物事业，负责全县文物的保护、抢救、发掘、研究和展示利用工作，指导、协调重大文物保护和考古项目的组织实施，指导文物管理机构业务建设，负责县级以上文物保护单位的申报、保护、维修、利用工作。</w:t>
      </w:r>
    </w:p>
    <w:p>
      <w:pPr>
        <w:pStyle w:val="5"/>
        <w:spacing w:line="360" w:lineRule="auto"/>
        <w:ind w:left="840" w:firstLine="0" w:firstLineChars="0"/>
        <w:rPr>
          <w:rFonts w:hint="eastAsia" w:ascii="仿宋" w:hAnsi="仿宋" w:eastAsia="仿宋" w:cs="仿宋"/>
          <w:kern w:val="0"/>
          <w:sz w:val="32"/>
          <w:szCs w:val="32"/>
          <w:shd w:val="clear" w:color="auto" w:fill="FFFFFF"/>
          <w:lang w:bidi="ar"/>
        </w:rPr>
      </w:pPr>
      <w:r>
        <w:rPr>
          <w:rFonts w:hint="eastAsia" w:ascii="仿宋" w:hAnsi="仿宋" w:eastAsia="仿宋" w:cs="仿宋"/>
          <w:kern w:val="0"/>
          <w:sz w:val="32"/>
          <w:szCs w:val="32"/>
          <w:shd w:val="clear" w:color="auto" w:fill="FFFFFF"/>
          <w:lang w:bidi="ar"/>
        </w:rPr>
        <w:t>（八）统筹规划全县文化、旅游产业，组织实施文化和旅游资源普查、挖掘、保护和利用工作，促进文化、旅游产业发展。</w:t>
      </w:r>
    </w:p>
    <w:p>
      <w:pPr>
        <w:pStyle w:val="5"/>
        <w:spacing w:line="360" w:lineRule="auto"/>
        <w:ind w:left="840" w:firstLine="0" w:firstLineChars="0"/>
        <w:rPr>
          <w:rFonts w:hint="eastAsia" w:ascii="仿宋" w:hAnsi="仿宋" w:eastAsia="仿宋" w:cs="仿宋"/>
          <w:kern w:val="0"/>
          <w:sz w:val="32"/>
          <w:szCs w:val="32"/>
          <w:shd w:val="clear" w:color="auto" w:fill="FFFFFF"/>
          <w:lang w:bidi="ar"/>
        </w:rPr>
      </w:pPr>
      <w:r>
        <w:rPr>
          <w:rFonts w:hint="eastAsia" w:ascii="仿宋" w:hAnsi="仿宋" w:eastAsia="仿宋" w:cs="仿宋"/>
          <w:kern w:val="0"/>
          <w:sz w:val="32"/>
          <w:szCs w:val="32"/>
          <w:shd w:val="clear" w:color="auto" w:fill="FFFFFF"/>
          <w:lang w:bidi="ar"/>
        </w:rPr>
        <w:t>（九）指导全县文化和旅游市场发展，对市场经营进行行业监管。依法规范市场，实施依法设定的行政许可，推进行业信用体系建设。负责全系统安全监督管理工作，负责全县旅游安全的综合协调和监督管理，承担全县旅游经济运行监测。</w:t>
      </w:r>
    </w:p>
    <w:p>
      <w:pPr>
        <w:spacing w:line="360" w:lineRule="auto"/>
        <w:ind w:left="420"/>
        <w:rPr>
          <w:rFonts w:hint="eastAsia" w:ascii="仿宋" w:hAnsi="仿宋" w:eastAsia="仿宋" w:cs="仿宋"/>
          <w:kern w:val="0"/>
          <w:sz w:val="32"/>
          <w:szCs w:val="32"/>
          <w:shd w:val="clear" w:color="auto" w:fill="FFFFFF"/>
          <w:lang w:bidi="ar"/>
        </w:rPr>
      </w:pPr>
      <w:r>
        <w:rPr>
          <w:rFonts w:hint="eastAsia" w:ascii="仿宋" w:hAnsi="仿宋" w:eastAsia="仿宋" w:cs="仿宋"/>
          <w:kern w:val="0"/>
          <w:sz w:val="32"/>
          <w:szCs w:val="32"/>
          <w:shd w:val="clear" w:color="auto" w:fill="FFFFFF"/>
          <w:lang w:bidi="ar"/>
        </w:rPr>
        <w:t>（十）指导全县文化市场综合执法，组织查处全县性、跨区域文化、文物、电影、旅游等市场的违法行为，督查督办重大案件，维护市场秩序。</w:t>
      </w:r>
    </w:p>
    <w:p>
      <w:pPr>
        <w:pStyle w:val="5"/>
        <w:spacing w:line="360" w:lineRule="auto"/>
        <w:ind w:left="0" w:leftChars="0" w:firstLine="320" w:firstLineChars="100"/>
        <w:rPr>
          <w:rFonts w:hint="eastAsia" w:ascii="仿宋" w:hAnsi="仿宋" w:eastAsia="仿宋" w:cs="仿宋"/>
          <w:kern w:val="0"/>
          <w:sz w:val="32"/>
          <w:szCs w:val="32"/>
          <w:shd w:val="clear" w:color="auto" w:fill="FFFFFF"/>
          <w:lang w:bidi="ar"/>
        </w:rPr>
      </w:pPr>
      <w:r>
        <w:rPr>
          <w:rFonts w:hint="eastAsia" w:ascii="仿宋" w:hAnsi="仿宋" w:eastAsia="仿宋" w:cs="仿宋"/>
          <w:kern w:val="0"/>
          <w:sz w:val="32"/>
          <w:szCs w:val="32"/>
          <w:shd w:val="clear" w:color="auto" w:fill="FFFFFF"/>
          <w:lang w:bidi="ar"/>
        </w:rPr>
        <w:t>（十一）完成县委、县政府交办的其他任务。</w:t>
      </w:r>
    </w:p>
    <w:p>
      <w:pPr>
        <w:pStyle w:val="5"/>
        <w:spacing w:line="360" w:lineRule="auto"/>
        <w:ind w:left="0" w:leftChars="0" w:firstLine="320" w:firstLineChars="100"/>
        <w:rPr>
          <w:rFonts w:hint="eastAsia" w:ascii="仿宋" w:hAnsi="仿宋" w:eastAsia="仿宋" w:cs="仿宋"/>
          <w:sz w:val="32"/>
          <w:szCs w:val="32"/>
        </w:rPr>
      </w:pPr>
      <w:r>
        <w:rPr>
          <w:rFonts w:hint="eastAsia" w:ascii="仿宋" w:hAnsi="仿宋" w:eastAsia="仿宋" w:cs="仿宋"/>
          <w:kern w:val="0"/>
          <w:sz w:val="32"/>
          <w:szCs w:val="32"/>
          <w:shd w:val="clear" w:color="auto" w:fill="FFFFFF"/>
          <w:lang w:bidi="ar"/>
        </w:rPr>
        <w:t>（十二）与县委宣传部的有关职责分工。县文化和旅游局负责指导全县文化市场综合执法，督查督办重大案件，维护市场秩序。县委宣传部负责新闻出版（版权）、电影领域的行政管理工作。</w:t>
      </w:r>
    </w:p>
    <w:p>
      <w:pPr>
        <w:pStyle w:val="5"/>
        <w:numPr>
          <w:ilvl w:val="0"/>
          <w:numId w:val="1"/>
        </w:numPr>
        <w:ind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5"/>
        <w:numPr>
          <w:ilvl w:val="0"/>
          <w:numId w:val="0"/>
        </w:numPr>
        <w:spacing w:line="360" w:lineRule="auto"/>
        <w:ind w:left="420" w:leftChars="0"/>
        <w:rPr>
          <w:rFonts w:hint="eastAsia" w:ascii="仿宋" w:hAnsi="仿宋" w:eastAsia="仿宋" w:cs="仿宋"/>
          <w:color w:val="231F20"/>
          <w:kern w:val="0"/>
          <w:sz w:val="32"/>
          <w:szCs w:val="32"/>
          <w:lang w:bidi="ar"/>
        </w:rPr>
      </w:pPr>
      <w:r>
        <w:rPr>
          <w:rFonts w:hint="eastAsia" w:ascii="仿宋" w:hAnsi="仿宋" w:eastAsia="仿宋" w:cs="仿宋"/>
          <w:color w:val="231F20"/>
          <w:kern w:val="0"/>
          <w:sz w:val="32"/>
          <w:szCs w:val="32"/>
          <w:lang w:bidi="ar"/>
        </w:rPr>
        <w:t>局机关有 6 个股室</w:t>
      </w:r>
    </w:p>
    <w:p>
      <w:pPr>
        <w:pStyle w:val="5"/>
        <w:numPr>
          <w:ilvl w:val="0"/>
          <w:numId w:val="0"/>
        </w:numPr>
        <w:spacing w:line="360" w:lineRule="auto"/>
        <w:ind w:left="420" w:leftChars="0"/>
        <w:rPr>
          <w:rFonts w:hint="eastAsia" w:ascii="仿宋" w:hAnsi="仿宋" w:eastAsia="仿宋" w:cs="仿宋"/>
          <w:color w:val="231F20"/>
          <w:kern w:val="0"/>
          <w:sz w:val="32"/>
          <w:szCs w:val="32"/>
          <w:lang w:bidi="ar"/>
        </w:rPr>
      </w:pPr>
      <w:r>
        <w:rPr>
          <w:rFonts w:hint="eastAsia" w:ascii="仿宋" w:hAnsi="仿宋" w:eastAsia="仿宋" w:cs="仿宋"/>
          <w:sz w:val="32"/>
          <w:szCs w:val="32"/>
        </w:rPr>
        <w:t>（一）</w:t>
      </w:r>
      <w:r>
        <w:rPr>
          <w:rFonts w:hint="eastAsia" w:ascii="仿宋" w:hAnsi="仿宋" w:eastAsia="仿宋" w:cs="仿宋"/>
          <w:color w:val="231F20"/>
          <w:kern w:val="0"/>
          <w:sz w:val="32"/>
          <w:szCs w:val="32"/>
          <w:lang w:bidi="ar"/>
        </w:rPr>
        <w:t>市场管理股</w:t>
      </w:r>
    </w:p>
    <w:p>
      <w:pPr>
        <w:pStyle w:val="5"/>
        <w:numPr>
          <w:ilvl w:val="0"/>
          <w:numId w:val="0"/>
        </w:numPr>
        <w:spacing w:line="360" w:lineRule="auto"/>
        <w:ind w:left="420" w:leftChars="0"/>
        <w:rPr>
          <w:rFonts w:hint="eastAsia" w:ascii="仿宋" w:hAnsi="仿宋" w:eastAsia="仿宋" w:cs="仿宋"/>
          <w:color w:val="231F20"/>
          <w:kern w:val="0"/>
          <w:sz w:val="32"/>
          <w:szCs w:val="32"/>
          <w:lang w:bidi="ar"/>
        </w:rPr>
      </w:pPr>
      <w:r>
        <w:rPr>
          <w:rFonts w:hint="eastAsia" w:ascii="仿宋" w:hAnsi="仿宋" w:eastAsia="仿宋" w:cs="仿宋"/>
          <w:sz w:val="32"/>
          <w:szCs w:val="32"/>
        </w:rPr>
        <w:t>（二）</w:t>
      </w:r>
      <w:r>
        <w:rPr>
          <w:rFonts w:hint="eastAsia" w:ascii="仿宋" w:hAnsi="仿宋" w:eastAsia="仿宋" w:cs="仿宋"/>
          <w:color w:val="231F20"/>
          <w:kern w:val="0"/>
          <w:sz w:val="32"/>
          <w:szCs w:val="32"/>
          <w:lang w:bidi="ar"/>
        </w:rPr>
        <w:t>政策法规股</w:t>
      </w:r>
    </w:p>
    <w:p>
      <w:pPr>
        <w:pStyle w:val="5"/>
        <w:numPr>
          <w:ilvl w:val="0"/>
          <w:numId w:val="0"/>
        </w:numPr>
        <w:spacing w:line="360" w:lineRule="auto"/>
        <w:ind w:left="420" w:leftChars="0"/>
        <w:rPr>
          <w:rFonts w:hint="eastAsia" w:ascii="仿宋" w:hAnsi="仿宋" w:eastAsia="仿宋" w:cs="仿宋"/>
          <w:color w:val="231F20"/>
          <w:kern w:val="0"/>
          <w:sz w:val="32"/>
          <w:szCs w:val="32"/>
          <w:lang w:bidi="ar"/>
        </w:rPr>
      </w:pPr>
      <w:r>
        <w:rPr>
          <w:rFonts w:hint="eastAsia" w:ascii="仿宋" w:hAnsi="仿宋" w:eastAsia="仿宋" w:cs="仿宋"/>
          <w:sz w:val="32"/>
          <w:szCs w:val="32"/>
        </w:rPr>
        <w:t>（三）</w:t>
      </w:r>
      <w:r>
        <w:rPr>
          <w:rFonts w:hint="eastAsia" w:ascii="仿宋" w:hAnsi="仿宋" w:eastAsia="仿宋" w:cs="仿宋"/>
          <w:color w:val="231F20"/>
          <w:kern w:val="0"/>
          <w:sz w:val="32"/>
          <w:szCs w:val="32"/>
          <w:lang w:bidi="ar"/>
        </w:rPr>
        <w:t>市场管理股</w:t>
      </w:r>
    </w:p>
    <w:p>
      <w:pPr>
        <w:pStyle w:val="5"/>
        <w:numPr>
          <w:ilvl w:val="0"/>
          <w:numId w:val="0"/>
        </w:numPr>
        <w:spacing w:line="360" w:lineRule="auto"/>
        <w:ind w:left="420" w:leftChars="0"/>
        <w:rPr>
          <w:rFonts w:hint="eastAsia" w:ascii="仿宋" w:hAnsi="仿宋" w:eastAsia="仿宋" w:cs="仿宋"/>
          <w:color w:val="231F20"/>
          <w:kern w:val="0"/>
          <w:sz w:val="32"/>
          <w:szCs w:val="32"/>
          <w:lang w:bidi="ar"/>
        </w:rPr>
      </w:pPr>
      <w:r>
        <w:rPr>
          <w:rFonts w:hint="eastAsia" w:ascii="仿宋" w:hAnsi="仿宋" w:eastAsia="仿宋" w:cs="仿宋"/>
          <w:sz w:val="32"/>
          <w:szCs w:val="32"/>
        </w:rPr>
        <w:t>（四）</w:t>
      </w:r>
      <w:r>
        <w:rPr>
          <w:rFonts w:hint="eastAsia" w:ascii="仿宋" w:hAnsi="仿宋" w:eastAsia="仿宋" w:cs="仿宋"/>
          <w:color w:val="231F20"/>
          <w:kern w:val="0"/>
          <w:sz w:val="32"/>
          <w:szCs w:val="32"/>
          <w:lang w:bidi="ar"/>
        </w:rPr>
        <w:t>公共文化股</w:t>
      </w:r>
    </w:p>
    <w:p>
      <w:pPr>
        <w:pStyle w:val="5"/>
        <w:numPr>
          <w:ilvl w:val="0"/>
          <w:numId w:val="0"/>
        </w:numPr>
        <w:spacing w:line="360" w:lineRule="auto"/>
        <w:ind w:left="420" w:leftChars="0"/>
        <w:rPr>
          <w:rFonts w:hint="eastAsia" w:ascii="仿宋" w:hAnsi="仿宋" w:eastAsia="仿宋" w:cs="仿宋"/>
          <w:color w:val="231F20"/>
          <w:kern w:val="0"/>
          <w:sz w:val="32"/>
          <w:szCs w:val="32"/>
          <w:lang w:bidi="ar"/>
        </w:rPr>
      </w:pPr>
      <w:r>
        <w:rPr>
          <w:rFonts w:hint="eastAsia" w:ascii="仿宋" w:hAnsi="仿宋" w:eastAsia="仿宋" w:cs="仿宋"/>
          <w:sz w:val="32"/>
          <w:szCs w:val="32"/>
        </w:rPr>
        <w:t>（五）</w:t>
      </w:r>
      <w:r>
        <w:rPr>
          <w:rFonts w:hint="eastAsia" w:ascii="仿宋" w:hAnsi="仿宋" w:eastAsia="仿宋" w:cs="仿宋"/>
          <w:color w:val="231F20"/>
          <w:kern w:val="0"/>
          <w:sz w:val="32"/>
          <w:szCs w:val="32"/>
          <w:lang w:bidi="ar"/>
        </w:rPr>
        <w:t>产业发展股</w:t>
      </w:r>
    </w:p>
    <w:p>
      <w:pPr>
        <w:pStyle w:val="5"/>
        <w:numPr>
          <w:ilvl w:val="0"/>
          <w:numId w:val="0"/>
        </w:numPr>
        <w:spacing w:line="360" w:lineRule="auto"/>
        <w:ind w:left="420" w:leftChars="0"/>
        <w:rPr>
          <w:rFonts w:hint="eastAsia" w:ascii="仿宋" w:hAnsi="仿宋" w:eastAsia="仿宋" w:cs="仿宋"/>
          <w:color w:val="231F20"/>
          <w:kern w:val="0"/>
          <w:sz w:val="32"/>
          <w:szCs w:val="32"/>
          <w:lang w:bidi="ar"/>
        </w:rPr>
      </w:pPr>
      <w:r>
        <w:rPr>
          <w:rFonts w:hint="eastAsia" w:ascii="仿宋" w:hAnsi="仿宋" w:eastAsia="仿宋" w:cs="仿宋"/>
          <w:sz w:val="32"/>
          <w:szCs w:val="32"/>
        </w:rPr>
        <w:t>（六）</w:t>
      </w:r>
      <w:r>
        <w:rPr>
          <w:rFonts w:hint="eastAsia" w:ascii="仿宋" w:hAnsi="仿宋" w:eastAsia="仿宋" w:cs="仿宋"/>
          <w:color w:val="231F20"/>
          <w:kern w:val="0"/>
          <w:sz w:val="32"/>
          <w:szCs w:val="32"/>
          <w:lang w:bidi="ar"/>
        </w:rPr>
        <w:t>文物保护股</w:t>
      </w:r>
    </w:p>
    <w:p>
      <w:pPr>
        <w:pStyle w:val="5"/>
        <w:numPr>
          <w:ilvl w:val="0"/>
          <w:numId w:val="0"/>
        </w:numPr>
        <w:spacing w:line="360" w:lineRule="auto"/>
        <w:ind w:left="420" w:leftChars="0"/>
        <w:rPr>
          <w:rFonts w:hint="eastAsia" w:ascii="仿宋" w:hAnsi="仿宋" w:eastAsia="仿宋" w:cs="仿宋"/>
          <w:color w:val="231F20"/>
          <w:kern w:val="0"/>
          <w:sz w:val="32"/>
          <w:szCs w:val="32"/>
          <w:lang w:bidi="ar"/>
        </w:rPr>
      </w:pPr>
      <w:r>
        <w:rPr>
          <w:rFonts w:hint="eastAsia" w:ascii="仿宋" w:hAnsi="仿宋" w:eastAsia="仿宋" w:cs="仿宋"/>
          <w:color w:val="231F20"/>
          <w:kern w:val="0"/>
          <w:sz w:val="32"/>
          <w:szCs w:val="32"/>
          <w:lang w:bidi="ar"/>
        </w:rPr>
        <w:t>执法队1个；下属文化馆、图书馆和6个事业副科建制文物所（永安寺、栗毓美墓、大云寺、圆觉寺、文庙、律吕神祠）</w:t>
      </w:r>
    </w:p>
    <w:p>
      <w:pPr>
        <w:pStyle w:val="5"/>
        <w:ind w:left="840" w:firstLine="0" w:firstLineChars="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附件：大同市浑源县文化和旅游局-2021年度部门决算公开报表.xls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16001.09万元，上年度总收入为2758.32万元，增减480.1 %。其中：一般公共预算财政拨款本年度收入为2180.9万元，上年度收入为2665.36万元，增减-18.18 %；政府性基金预算财政拨款本年度收入为13820.19万元，上年度收入为92.96万元，增减14766.65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16122.94万元，上年度总支出为2766.31万元，增减482.83%。其中：基本支出本年度支出为633.09万元，上年度支出为564.57万元，增减12.14 %；项目支出本年度支出为15489.84万元，上年度支出为2201.74万元，增减603.53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0.02万元，增减-100 %；其中：因公出国（境）费本年度支出0万元，上年度支出为0万元，增减0 %；公务用车购置及运行维护费支出为0万元，上年度支出为0.02万元，增减-100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本单位本年度机关运行经费总支出为24.75万元，上年度支出为27.53万元，增减-10.08 %；主要为日常办公费、水电、差旅、印刷、委托业务费等费用。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本单位本年度政府采购总价为420.85万元，其中：货物采购420.85万元，工程采购0万元，服务采购0万元。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我单位产权房屋面积为1210平方米，价值160.91万元。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单位账面车辆为5辆，价值71.27万元。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1）预算绩效管理工作开展情况。根据预算绩效管理要求，我部门组织对2021年度县级财政预算安排的专项资金类38个项目支出全面开展绩效自评，涉及预算资金1824.52万元，占一般公共预算项目支出总额的100%。组织对旅游开发补助资金，西辛庄龙王庙修缮工程，裴村龙王庙修缮，住建局旧城改造3条路、古城历史文化街区5条街道、新城区四条路配套工程，浑源县全域旅游服务体系建设项目5个政府性基金预算项目支出开展绩效自评，共涉及预算资金13826.19万元，占政府性基金预算项目支出总额的100%。</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（2）部门决算中项目绩效自评结果。浑源县全域旅游服务体系建设项目项目绩效自评综述：根据年初设定的绩效目标，项目自评得分</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12120万元，执行数为12120万元，完成预算的100%。项目绩效目标完成情况在浑源县迎宾街与正阳线交叉口东南角，建设游客集散中心等全域旅游体系，更好的服务浑源县的文旅产业，推动文化振兴；2021年文物保护省级专项补助资金（第一批）项目绩效自评综述：根据年初设定的绩效目标，项目自评得分为</w:t>
      </w:r>
      <w:r>
        <w:rPr>
          <w:rFonts w:hint="eastAsia" w:ascii="仿宋" w:hAnsi="仿宋" w:eastAsia="仿宋" w:cs="仿宋"/>
          <w:sz w:val="32"/>
          <w:szCs w:val="32"/>
          <w:lang w:val="en-US" w:eastAsia="zh-CN"/>
        </w:rPr>
        <w:t>100</w:t>
      </w:r>
      <w:bookmarkStart w:id="0" w:name="_GoBack"/>
      <w:bookmarkEnd w:id="0"/>
      <w:r>
        <w:rPr>
          <w:rFonts w:hint="eastAsia" w:ascii="仿宋" w:hAnsi="仿宋" w:eastAsia="仿宋" w:cs="仿宋"/>
          <w:sz w:val="32"/>
          <w:szCs w:val="32"/>
        </w:rPr>
        <w:t>分。全年预算数为50万元，执行数为50万元，完成预算的100%。项目绩效目标完成情况：维修我县皇叔洼神庙及杨庄神庙，更好的保护我县文物古迹。2020年中央补助地方公共文化服务专项（送戏下乡）项目绩效自评综述：根据年初设定的绩效目标，项目自评得分为9</w:t>
      </w:r>
      <w:r>
        <w:rPr>
          <w:rFonts w:hint="eastAsia" w:ascii="仿宋" w:hAnsi="仿宋" w:eastAsia="仿宋" w:cs="仿宋"/>
          <w:sz w:val="32"/>
          <w:szCs w:val="32"/>
          <w:lang w:val="en-US" w:eastAsia="zh-CN"/>
        </w:rPr>
        <w:t>0</w:t>
      </w:r>
      <w:r>
        <w:rPr>
          <w:rFonts w:hint="eastAsia" w:ascii="仿宋" w:hAnsi="仿宋" w:eastAsia="仿宋" w:cs="仿宋"/>
          <w:sz w:val="32"/>
          <w:szCs w:val="32"/>
        </w:rPr>
        <w:t>分。全年预算数为54万元，执行数为49万元，完成预算的90.97%。项目绩效目标完成情况：送戏下乡，活跃了人民群众文化氛围，增强群众文化的认同感，促进文化旅游事业发展。绩效评价工作相关制度需要在具体的实施过程中进一步巩固完善。今后的工作中，我们将更进一步立足我单位工作实际的改进和加强绩效评价工作，更好的改进工作作风更进一步提升工作效能。强化制度建设。结合预算、绩效、资金管理的新要求，严格执行相关规章制度，项目集体决策，项目资金使用程序和手续规范，确保项目经费执行到位、规范使用、安全运行，提高资金使用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浑源县文化和旅游局</w:t>
      </w:r>
    </w:p>
    <w:p>
      <w:pPr>
        <w:jc w:val="right"/>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firstLine="8640" w:firstLineChars="27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CD5396"/>
    <w:multiLevelType w:val="multilevel"/>
    <w:tmpl w:val="6BCD5396"/>
    <w:lvl w:ilvl="0" w:tentative="0">
      <w:start w:val="1"/>
      <w:numFmt w:val="japaneseCount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OWUzZmM3OTJjN2E2MGY3ZDFiYmM5OWZlNjBkYzQifQ=="/>
  </w:docVars>
  <w:rsids>
    <w:rsidRoot w:val="00250ADE"/>
    <w:rsid w:val="001257F4"/>
    <w:rsid w:val="00250ADE"/>
    <w:rsid w:val="00413A4A"/>
    <w:rsid w:val="00F00434"/>
    <w:rsid w:val="00F87559"/>
    <w:rsid w:val="16D65745"/>
    <w:rsid w:val="234B5F15"/>
    <w:rsid w:val="74E82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link w:val="6"/>
    <w:qFormat/>
    <w:uiPriority w:val="0"/>
    <w:rPr>
      <w:rFonts w:ascii="宋体" w:hAnsi="Courier New"/>
      <w:szCs w:val="20"/>
    </w:rPr>
  </w:style>
  <w:style w:type="paragraph" w:styleId="5">
    <w:name w:val="List Paragraph"/>
    <w:basedOn w:val="1"/>
    <w:qFormat/>
    <w:uiPriority w:val="34"/>
    <w:pPr>
      <w:ind w:firstLine="420" w:firstLineChars="200"/>
    </w:pPr>
  </w:style>
  <w:style w:type="character" w:customStyle="1" w:styleId="6">
    <w:name w:val="纯文本 Char"/>
    <w:basedOn w:val="4"/>
    <w:link w:val="2"/>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4023</Words>
  <Characters>4299</Characters>
  <Lines>32</Lines>
  <Paragraphs>9</Paragraphs>
  <TotalTime>17</TotalTime>
  <ScaleCrop>false</ScaleCrop>
  <LinksUpToDate>false</LinksUpToDate>
  <CharactersWithSpaces>4438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2022-07-15T09:05:00Z</dcterms:created>
  <dc:creator>xb21cn</dc:creator>
  <cp:lastModifiedBy>Administrator</cp:lastModifiedBy>
  <dcterms:modified xsi:type="dcterms:W3CDTF">2022-07-20T03:27:36Z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FFDDB313684F443697D1A64EBAECEDA7</vt:lpwstr>
  </property>
</Properties>
</file>