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E3DA5">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浑源县能源局</w:t>
      </w:r>
    </w:p>
    <w:p w14:paraId="2005D9AB">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2021年度部门决算公开说明</w:t>
      </w:r>
    </w:p>
    <w:p w14:paraId="7666B9C2">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目录</w:t>
      </w:r>
    </w:p>
    <w:p w14:paraId="2B3B6DB3">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 部门及单位概况</w:t>
      </w:r>
    </w:p>
    <w:p w14:paraId="4B38E127">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14:paraId="06E4C4EF">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14:paraId="1A7AC5E1">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 2021年度部门决算公开报表</w:t>
      </w:r>
    </w:p>
    <w:p w14:paraId="22EAFDAB">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表一：GK01 收入支出决算总表(公开01表)</w:t>
      </w:r>
    </w:p>
    <w:p w14:paraId="31E947B8">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表二：GK02 收入决算表(公开02表)</w:t>
      </w:r>
    </w:p>
    <w:p w14:paraId="1278B22E">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表三：GK03 支出决算表(公开03表)</w:t>
      </w:r>
    </w:p>
    <w:p w14:paraId="711D48FA">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表四：GK04 财政拨款收入支出决算总表(公开04表)</w:t>
      </w:r>
    </w:p>
    <w:p w14:paraId="1918AB31">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表五：GK05 一般公共预算财政拨款支出决算表（一）(公开05表)</w:t>
      </w:r>
    </w:p>
    <w:p w14:paraId="06814937">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表六：GK06 一般公共预算财政拨款支出决算表（二）(公开06表)</w:t>
      </w:r>
    </w:p>
    <w:p w14:paraId="22CEFB16">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表七：GK07 一般公共预算财政拨款“三公”经费支出决算表(公开07)</w:t>
      </w:r>
    </w:p>
    <w:p w14:paraId="2BF89F73">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表八：GK08 政府性基金预算财政拨款收入支出决算表(公开08表)</w:t>
      </w:r>
    </w:p>
    <w:p w14:paraId="736F17FD">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表九：GK09 国有资本经营预算财政拨款支出决算表(公开09表)</w:t>
      </w:r>
    </w:p>
    <w:p w14:paraId="40686AE0">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表十：GK10 部门决算公开相关信息统计表(公开10表)</w:t>
      </w:r>
    </w:p>
    <w:p w14:paraId="43FB67DD">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 2021年度部门决算情况说明</w:t>
      </w:r>
    </w:p>
    <w:p w14:paraId="35FA6767">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14:paraId="5EDC67DC">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14:paraId="7F3EAAF2">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14:paraId="275F8E1B">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14:paraId="5FC6C7F7">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14:paraId="3ECDDA92">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14:paraId="18AC8D8F">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14:paraId="1424513A">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第四部分 部门名词解释</w:t>
      </w:r>
    </w:p>
    <w:p w14:paraId="1D1BEEB2">
      <w:pPr>
        <w:rPr>
          <w:rFonts w:hint="eastAsia" w:ascii="仿宋" w:hAnsi="仿宋" w:eastAsia="仿宋" w:cs="仿宋"/>
          <w:b/>
          <w:color w:val="000000"/>
          <w:kern w:val="0"/>
          <w:sz w:val="32"/>
          <w:szCs w:val="32"/>
        </w:rPr>
      </w:pPr>
    </w:p>
    <w:p w14:paraId="50447A25">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内容</w:t>
      </w:r>
    </w:p>
    <w:p w14:paraId="06512251">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第一部分：浑源县能源局概况</w:t>
      </w:r>
    </w:p>
    <w:p w14:paraId="2F3216AC">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14:paraId="5150DD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贯彻落实国家、省、市有关能源工作的法律、法规和政策，研究拟定全县能源发展战略和发展规划，推进能源体制改革。涉及能源发展的重大规划和投资项目管理等，由县发展和改革局牵头，以联席会议制度进行协调协商。</w:t>
      </w:r>
    </w:p>
    <w:p w14:paraId="0E0C3B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）负责全县能源行业管理。组织拟定全县煤炭、电力、石油、天然气、新能源和可再生能源等能源产业的相关标准并组织实施。</w:t>
      </w:r>
    </w:p>
    <w:p w14:paraId="1F9C1A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（三）按规定权限，负责审批、核准、审核能源固定资产投资项目，并负责组织项目竣工验收。</w:t>
      </w:r>
    </w:p>
    <w:p w14:paraId="5211B9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负责能源预测预警，监测全县能源发展状况，发布能源信息，参与能源运行调节和应急保障。拟订石油、天然气战略储备规划，提出石油、天然气战略储备收储、动用建议，经县发展和改革局审核后，报县人民政府审批，按程序上报核准并组织实施。</w:t>
      </w:r>
    </w:p>
    <w:p w14:paraId="2A81E2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牵头组织全县节能降耗工作，拟订年度工作计划、预期建议目标并组织实施。承担能源行业节能降耗和清洁生产。研究拟定全县年度能源消费总量建议控制目标，指导、监督能源消费总控制有关工作，衔接能源生产和供需平衡。牵头组织全县节能监督管理和节能监察工作。负责能源领域节能降耗监察工作。</w:t>
      </w:r>
    </w:p>
    <w:p w14:paraId="3154F5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（六）协调落实推进电力发展和改革中的重大问题。负责全县电力运行管理。负责供电营业区的划分、变更和《供电营业许可证》申请资料的审核上报工作。</w:t>
      </w:r>
    </w:p>
    <w:p w14:paraId="2E391B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（七）负责石油、天然气等管道建设和保护。</w:t>
      </w:r>
    </w:p>
    <w:p w14:paraId="3BCA54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（八）指导协调新能源、可再生能源、农村电网和农村能源发展工作。</w:t>
      </w:r>
    </w:p>
    <w:p w14:paraId="082B35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（九）负责能源领域科技进步、装备和节能技术改造等相关工作，推广应用新产品、新技术、新设备。</w:t>
      </w:r>
    </w:p>
    <w:p w14:paraId="3921BD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（十）参与制定与能源相关的资源、环保及应对气候变化等规章。</w:t>
      </w:r>
    </w:p>
    <w:p w14:paraId="39E41C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（十一）完成县委、县人民政府交办的其他任务。</w:t>
      </w:r>
    </w:p>
    <w:p w14:paraId="6AB25B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ニ）职能转变。县能源局要围绕山西建设全国资源型经济转型发展示范区和打造全国能源革命排头兵战略，研究提出全县能源发展战略、政策和规划，提出能源体制改革建议，转变能源管理和服务职能，减少微观管理和具体审批事项。制定能源领域的相关规划，加强事中事后监管，激发市场主体活力。</w:t>
      </w:r>
    </w:p>
    <w:p w14:paraId="0C42DD07">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14:paraId="4A5905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综合办公室（机关党办）。负责机关日常运转，承担信息、档案、信访、政务公开、重要文稿起草和行政后勤等工作。研究能源重大问题，承担有关规范性文件的合法性审查工作。承担行政复议、行政应诉等工作。牵头负责能源改革相关工作。承担县委、县人民政府年度目标责任制考核工作。对全县能源行业职业教育培训工作进行组织协调和业务指导。研究提出能源发展战略建议，牵头组织拟订能源发展中长期规划和年度计划。承担能源综合业务，布局重大能源产业项目，推进全县能源结构战略性调整。按规定权限，负责审批、核准、审核煤炭、电力、石油、天然气、新能源和可再生能源等固定资产投资项目。提出煤矿安全改造项目的初审意见。牵头负责能源领域行政审批项目的事中事后监管。监督指导能源领域（煤矿安全除外）行政执法工作。指导能源（煤矿矿安全除外）产业加强安全生产管理和隐患排查治理工作。承担重大突发事件状态下能源物资的紧急调度和综合协调。参与重特大安全生产事故的调查、处理。负责本部门政务服务管理工作，负责本部门具有审批性质行政职权事项的受理、办理或牵头组织联审联办工作，本系统</w:t>
      </w:r>
      <w:r>
        <w:rPr>
          <w:rFonts w:hint="eastAsia" w:ascii="仿宋" w:hAnsi="仿宋" w:eastAsia="仿宋" w:cs="仿宋"/>
          <w:sz w:val="32"/>
          <w:szCs w:val="32"/>
          <w:lang w:eastAsia="zh-CN"/>
        </w:rPr>
        <w:t>行政审批事项</w:t>
      </w:r>
      <w:r>
        <w:rPr>
          <w:rFonts w:hint="eastAsia" w:ascii="仿宋" w:hAnsi="仿宋" w:eastAsia="仿宋" w:cs="仿宋"/>
          <w:sz w:val="32"/>
          <w:szCs w:val="32"/>
        </w:rPr>
        <w:t>的受理、办理或牵头组织联审联办工作，本系统行政审批制度改革工作。负责全县能源领域财务指标的统计、汇总及分析工作。负责机关的财务管理和社保、医保、公积金等资金的代扣代缴工作。负责机关和直属单位内部审计工作。负责机关和直属单位的党群工作。</w:t>
      </w:r>
    </w:p>
    <w:p w14:paraId="5443D0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煤炭电力油气股。负责煤炭行业（煤矿安全除外）管理。落实煤炭开发发展规划、计划和政策并组织实施。负责煤炭生产总量调控、产能置换和重组整合相关工作。负责全县煤矿、洗（选）煤厂产业布局、淘汰落后和初步设计、项目开工及联合试运转审批，并负责组织综合竣工验收工作。负责煤矿（含洗选煤厂）改扩建（含技术改造）审批。负责全县煤矿建设工程质量监督工作。承担煤炭改革相关工作。负责煤炭行业（煤矿安全除外）相关管理工作。指导全县煤矿、洗（选）煤厂的生产技术工作，贯彻落实相关生产技术规范、规程和标准。负责煤矿生产能力核定、煤矿生产能力登记公告管理等工作。指导全县煤炭质量管理。负责电力行业管理。承担电力运行协调工作。组织拟订电力、电网等专项规划、年度计划并组织实施。负责全县电力电量综合平衡预案和电力年度计划编制及管理，配合省市相关部门积极参与电力外送市场拓展。协调处理电力发展和改革中的问题。负责供电营业区的划分、变更和《供电营业许可证》的申请资料的审核上报工作。负责石油、天然气等行业管理。拟订并组织实施石油、天然气等行业发展规划、年度计划并组织实施。负责石油、天然气等管道建设和保护。负责石油、天然气等综合利用工作。</w:t>
      </w:r>
    </w:p>
    <w:p w14:paraId="1B198D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（三）新能源和节能减排股。负责新能源行业管理。指导协调新能源、可再生能源、农村电网和农村能源发展，组织拟订新能源、水能、生物质能和其他可再生能源发展规划</w:t>
      </w:r>
    </w:p>
    <w:p w14:paraId="0B4648F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和计划并组织实施。指导能源清洁高效利用工作。拟订煤炭加工转化为清洁能源产品的发展规划。研究拟订绿色能源、促进产业提质发展办法并组织实施。负责煤电的清洁生产工作。参与编制生态建设、环境保护规划，配合相关部门促进能源</w:t>
      </w:r>
      <w:r>
        <w:rPr>
          <w:rFonts w:hint="eastAsia" w:ascii="仿宋" w:hAnsi="仿宋" w:eastAsia="仿宋" w:cs="仿宋"/>
          <w:sz w:val="32"/>
          <w:szCs w:val="32"/>
          <w:lang w:eastAsia="zh-CN"/>
        </w:rPr>
        <w:t>领域</w:t>
      </w:r>
      <w:bookmarkStart w:id="0" w:name="_GoBack"/>
      <w:bookmarkEnd w:id="0"/>
      <w:r>
        <w:rPr>
          <w:rFonts w:hint="eastAsia" w:ascii="仿宋" w:hAnsi="仿宋" w:eastAsia="仿宋" w:cs="仿宋"/>
          <w:sz w:val="32"/>
          <w:szCs w:val="32"/>
        </w:rPr>
        <w:t>的资源节约和环境保护工作。牵头组织全县节能降耗工作，拟订年度工作计划和预期建议目标并推动实施。承担全县能源领域节能降耗工作，拟订能源领域节能的相关规划和计划并组织实施。牵头组织全县节能监督管理和节能监察工作，负责能源领域节能降耗的监察工作。制定全县能源消费总量建议控制目标。指导、监督能源消费总量控制有关工作。负责能源领域科技进步、装备和节能技术改造等相关工作，推广应用新产品、新技术、新设备。统筹推进能源领域信息化工作，牵头负责能源领域综合统计作。监测全县能源运行情况，分析能源运行动态，协调能源运行中重大问题。负责能源预测预警，发布能源信息。提出能源价格调整和进出口总量建议。参与协调全县煤电油气保障工作。</w:t>
      </w:r>
    </w:p>
    <w:p w14:paraId="581A99FC">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第二部分：2021年度部门决算公开报表</w:t>
      </w:r>
    </w:p>
    <w:p w14:paraId="3D0D86A6">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附件：大同市浑源县能源局-2021年度部门决算公开报表.xls</w:t>
      </w:r>
    </w:p>
    <w:p w14:paraId="7C5E502E">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第三部分：2021年度部门决算情况说明</w:t>
      </w:r>
    </w:p>
    <w:p w14:paraId="57CA03D4">
      <w:pPr>
        <w:ind w:left="424"/>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14:paraId="01D090A8">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收入为4696.3万元，上年度总收入为0万元，增减0 %。其中：一般公共预算财政拨款本年度收入为4610.35万元，上年度收入为0万元，增减0 %；政府性基金预算财政拨款本年度收入为85.95万元，上年度收入为0万元，增减0 %；事业收入本年度收入为0万元，上年度收入为0万元，增减0 %；其他收入本年度收入为0万元，上年度收入为0万元，增减0%。</w:t>
      </w:r>
    </w:p>
    <w:p w14:paraId="7CAC5839">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14:paraId="7F7D2C5A">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本单位本年度总支出为4696.3万元，上年度总支出为0万元，增减0%。其中：基本支出本年度支出为193.08万元，上年度支出为0万元，增减0 %；项目支出本年度支出为4503.22万元，上年度支出为0万元，增减0 %。</w:t>
      </w:r>
    </w:p>
    <w:p w14:paraId="33DE51D3">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14:paraId="1E2944A3">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5C0223BF">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14:paraId="5A3D656A">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本单位本年度机关运行经费总支出为6.38万元，上年度支出为0万元，增减0 %；主要为日常办公费、水电、差旅、印刷、委托业务费等费用。</w:t>
      </w:r>
    </w:p>
    <w:p w14:paraId="439840D1">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14:paraId="0F87CF24">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本单位本年度政府采购总价为6.31万元，其中：货物采购6.31万元，工程采购0万元，服务采购0万元。</w:t>
      </w:r>
    </w:p>
    <w:p w14:paraId="14893AF2">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14:paraId="14F6CA19">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（1）房屋情况</w:t>
      </w:r>
    </w:p>
    <w:p w14:paraId="06CE8280">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截止2021年12月31日， 我单位产权房屋面积为0平方米，价值0万元。</w:t>
      </w:r>
    </w:p>
    <w:p w14:paraId="39211FA7">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（2）车辆情况</w:t>
      </w:r>
    </w:p>
    <w:p w14:paraId="6A43B634">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单位账面车辆为0辆，价值0万元。</w:t>
      </w:r>
    </w:p>
    <w:p w14:paraId="43ADE762">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14:paraId="341B4454">
      <w:pPr>
        <w:ind w:firstLine="640" w:firstLineChars="200"/>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2021年度，本单位实行绩效目标管理的项目</w:t>
      </w:r>
      <w:r>
        <w:rPr>
          <w:rFonts w:hint="eastAsia" w:ascii="仿宋" w:hAnsi="仿宋" w:eastAsia="仿宋" w:cs="仿宋"/>
          <w:color w:val="000000"/>
          <w:kern w:val="0"/>
          <w:sz w:val="32"/>
          <w:szCs w:val="32"/>
          <w:lang w:val="en-US" w:eastAsia="zh-CN"/>
        </w:rPr>
        <w:t>7</w:t>
      </w:r>
      <w:r>
        <w:rPr>
          <w:rFonts w:hint="eastAsia" w:ascii="仿宋" w:hAnsi="仿宋" w:eastAsia="仿宋" w:cs="仿宋"/>
          <w:color w:val="000000"/>
          <w:kern w:val="0"/>
          <w:sz w:val="32"/>
          <w:szCs w:val="32"/>
        </w:rPr>
        <w:t>个</w:t>
      </w:r>
      <w:r>
        <w:rPr>
          <w:rFonts w:hint="eastAsia" w:ascii="仿宋" w:hAnsi="仿宋" w:eastAsia="仿宋" w:cs="仿宋"/>
          <w:color w:val="000000"/>
          <w:kern w:val="0"/>
          <w:sz w:val="32"/>
          <w:szCs w:val="32"/>
          <w:lang w:eastAsia="zh-CN"/>
        </w:rPr>
        <w:t>。</w:t>
      </w:r>
    </w:p>
    <w:p w14:paraId="657084DD">
      <w:pPr>
        <w:pStyle w:val="2"/>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预算绩效管理工作开展情况。</w:t>
      </w:r>
    </w:p>
    <w:p w14:paraId="1AAF288A">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根据预算绩效管理要求，我部门组织对2021年度县级财政预算安排的专项资金类5个项目支出全面开展绩效自评，涉及预算资金174.24万元，占一般公共预算项目支出总额的35.31%。</w:t>
      </w:r>
    </w:p>
    <w:p w14:paraId="1E44E0C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14:paraId="01C0DD44">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2020年度目标责任考核奖励金项目绩效自评综述：根据年初设定的绩效目标，项目自评得分为99.70分。全年预算数为0.24万元，执行数为0.24万元，完成预算的100%。项目绩效目标完成情况：一是完成奖励人数2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14:paraId="5870A819">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调整下达2020年“煤改电”用户市级财政设备补贴项目绩效自评综述：根据年初设定的绩效目标，项目自评得分为99.46分。全年预算数为80万元，执行数为80万元，完成预算的100%。项目绩效目标完成情况：一是完成完成煤改电户数500户；二是改善地区空气环境质量污染情况。发现的主要问题及原因：部分干部职工对绩效评价工作认识和重视程度还有待加强。下一步改进工作作风，更进一步提升工作效能。</w:t>
      </w:r>
    </w:p>
    <w:p w14:paraId="696BE62B">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b w:val="0"/>
          <w:bCs/>
          <w:color w:val="auto"/>
          <w:kern w:val="2"/>
          <w:sz w:val="32"/>
          <w:szCs w:val="32"/>
          <w:lang w:val="en-US" w:eastAsia="zh-CN" w:bidi="ar-SA"/>
        </w:rPr>
        <w:t>3）工作经费项目绩效自评综述：根据年初设定的绩效目标，项目自评得分为97.84分。全年预算数为2.00万元，执行数为2.00万元，完成预算的100%。项目绩效目标完成情况：进一步保障了单位正常运转。发现的主要问题及原因：绩效评价工作有的规定显得宽泛。下一步改进措施：与具体项目相衔接，制定规定制度更细致，便于执行。</w:t>
      </w:r>
    </w:p>
    <w:p w14:paraId="0050D572">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第四部分 部门名词解释</w:t>
      </w:r>
    </w:p>
    <w:p w14:paraId="7B690BAF">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一、财政拨款：财政拨款包括一般公共预算财政拨款、政府性基金预算财政拨款和国有资本经营预算财政拨款。</w:t>
      </w:r>
    </w:p>
    <w:p w14:paraId="440C22D2">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A625547">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E8225D0">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25C4143">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二、收入</w:t>
      </w:r>
    </w:p>
    <w:p w14:paraId="0A4DD8B9">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1、财政拨款收入：单位本年度从本级财政部门取得的财政拨款，包括一般公共预算财政拨款、政府性基金预算财政拨款和国有资本经营预算财政拨款。</w:t>
      </w:r>
    </w:p>
    <w:p w14:paraId="2795AF95">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一级预算单位收到的应拨给下级单位使用的款项，年终决算时尚未拨出的，在编报时列为本单位财政拨款。</w:t>
      </w:r>
    </w:p>
    <w:p w14:paraId="60902FC1">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2、上级补助收入：填列事业单位从主管部门和上级单位取得的非财政补助收入。</w:t>
      </w:r>
    </w:p>
    <w:p w14:paraId="446B5275">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3、事业收入：填列事业单位开展专业业务活动及其辅助活动取得的收入；事业单位收到的财政专户实际核拨的教育收费等资金在此反映。</w:t>
      </w:r>
    </w:p>
    <w:p w14:paraId="342BF934">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4、经营收入：填列事业单位在专业业务活动及其辅助活动之外开展非独立核算经营活动取得的收入。</w:t>
      </w:r>
    </w:p>
    <w:p w14:paraId="33A22D2E">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5、附属单位上缴收入：填列事业单位附独立核算单位按照有关规定上缴的收入。</w:t>
      </w:r>
    </w:p>
    <w:p w14:paraId="14E13DE7">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017D8DA3">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事业单位开展专业业务活动及辅助活动并以合同形式从本级财政部门以外的同级单位取得的经费，不在本项反映，应填列在“事业收入”栏。</w:t>
      </w:r>
    </w:p>
    <w:p w14:paraId="646E0273">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三、支出</w:t>
      </w:r>
    </w:p>
    <w:p w14:paraId="1F4D7E79">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1、基本支出：填列单位为保障机构正常运转、完成日常工作任务而发生的各项支出。</w:t>
      </w:r>
    </w:p>
    <w:p w14:paraId="53EEE7CE">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2、项目支出：填列单位为完成特定的行政工作任务或事业发展目标，在基本支出之外发生的各项支出。</w:t>
      </w:r>
    </w:p>
    <w:p w14:paraId="5D092BDE">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3、上缴上级支出：填列事业单位按照财政部门和主管部门的规定上缴上级单位的支出。</w:t>
      </w:r>
    </w:p>
    <w:p w14:paraId="5DBB5A3C">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4、经营支出：填列事业单位在专业活动及辅助活动之外开展非独立核算经营活动发生的支出。</w:t>
      </w:r>
    </w:p>
    <w:p w14:paraId="4C141445">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5、附属单位补助支出：填列事业单位用财政补助收入之外的收入对附属单位补助发生的支出。</w:t>
      </w:r>
    </w:p>
    <w:p w14:paraId="19BF6864">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6、主管部门在汇总决算时，应使用调整表对“上缴上级支出”“对附属单位补助支出”与收入表中“附属单位上缴收入”“上级补助收入”进行冲抵。</w:t>
      </w:r>
    </w:p>
    <w:p w14:paraId="54131A0D">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四、“三公”经费：一般公共预算安排的因公出国（境）费、公务用车购置及运行费和公务接待费。</w:t>
      </w:r>
    </w:p>
    <w:p w14:paraId="03F7989E">
      <w:pPr>
        <w:rPr>
          <w:rFonts w:hint="eastAsia" w:ascii="仿宋" w:hAnsi="仿宋" w:eastAsia="仿宋" w:cs="仿宋"/>
          <w:color w:val="000000"/>
          <w:sz w:val="32"/>
          <w:szCs w:val="32"/>
        </w:rPr>
      </w:pPr>
    </w:p>
    <w:p w14:paraId="4F36D122">
      <w:pPr>
        <w:rPr>
          <w:rFonts w:hint="eastAsia" w:ascii="仿宋" w:hAnsi="仿宋" w:eastAsia="仿宋" w:cs="仿宋"/>
          <w:color w:val="000000"/>
          <w:sz w:val="32"/>
          <w:szCs w:val="32"/>
        </w:rPr>
      </w:pPr>
    </w:p>
    <w:p w14:paraId="392EC04A">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14:paraId="66C220B5">
      <w:pPr>
        <w:wordWrap w:val="0"/>
        <w:jc w:val="right"/>
        <w:rPr>
          <w:rFonts w:hint="eastAsia" w:ascii="仿宋" w:hAnsi="仿宋" w:eastAsia="仿宋" w:cs="仿宋"/>
          <w:color w:val="000000"/>
          <w:sz w:val="32"/>
          <w:szCs w:val="32"/>
          <w:lang w:val="en-US"/>
        </w:rPr>
      </w:pPr>
      <w:r>
        <w:rPr>
          <w:rFonts w:hint="eastAsia" w:ascii="仿宋" w:hAnsi="仿宋" w:eastAsia="仿宋" w:cs="仿宋"/>
          <w:color w:val="000000"/>
          <w:sz w:val="32"/>
          <w:szCs w:val="32"/>
        </w:rPr>
        <w:t xml:space="preserve">                                                       浑源县能源局</w:t>
      </w:r>
      <w:r>
        <w:rPr>
          <w:rFonts w:hint="eastAsia" w:ascii="仿宋" w:hAnsi="仿宋" w:eastAsia="仿宋" w:cs="仿宋"/>
          <w:color w:val="000000"/>
          <w:sz w:val="32"/>
          <w:szCs w:val="32"/>
          <w:lang w:val="en-US"/>
        </w:rPr>
        <w:t xml:space="preserve">  </w:t>
      </w:r>
    </w:p>
    <w:p w14:paraId="2C51EBB7">
      <w:pPr>
        <w:jc w:val="right"/>
        <w:rPr>
          <w:rFonts w:hint="eastAsia" w:ascii="仿宋" w:hAnsi="仿宋" w:eastAsia="仿宋" w:cs="仿宋"/>
        </w:rPr>
      </w:pPr>
      <w:r>
        <w:rPr>
          <w:rFonts w:hint="eastAsia" w:ascii="仿宋" w:hAnsi="仿宋" w:eastAsia="仿宋" w:cs="仿宋"/>
          <w:color w:val="000000"/>
          <w:sz w:val="32"/>
          <w:szCs w:val="32"/>
        </w:rPr>
        <w:t xml:space="preserve"> 2022年7月15日</w:t>
      </w:r>
    </w:p>
    <w:p w14:paraId="4811888C">
      <w:pPr>
        <w:jc w:val="right"/>
        <w:rPr>
          <w:rFonts w:hint="eastAsia" w:ascii="仿宋" w:hAnsi="仿宋" w:eastAsia="仿宋" w:cs="仿宋"/>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442C36"/>
    <w:multiLevelType w:val="singleLevel"/>
    <w:tmpl w:val="6A442C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00000000"/>
    <w:rsid w:val="0DA43945"/>
    <w:rsid w:val="1A595881"/>
    <w:rsid w:val="359B02F9"/>
    <w:rsid w:val="35EFBE96"/>
    <w:rsid w:val="373B1603"/>
    <w:rsid w:val="3EAB0813"/>
    <w:rsid w:val="3F7FD4E8"/>
    <w:rsid w:val="493C016B"/>
    <w:rsid w:val="57AF449B"/>
    <w:rsid w:val="5BB12AA7"/>
    <w:rsid w:val="5FFE00CE"/>
    <w:rsid w:val="6CA6576C"/>
    <w:rsid w:val="76B3588B"/>
    <w:rsid w:val="77BF0C01"/>
    <w:rsid w:val="7CA536E5"/>
    <w:rsid w:val="F7DAE1D7"/>
    <w:rsid w:val="FFFDCF23"/>
    <w:rsid w:val="FFFE4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5294</Words>
  <Characters>5467</Characters>
  <Lines>0</Lines>
  <Paragraphs>0</Paragraphs>
  <TotalTime>3</TotalTime>
  <ScaleCrop>false</ScaleCrop>
  <LinksUpToDate>false</LinksUpToDate>
  <CharactersWithSpaces>5606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刘萍</cp:lastModifiedBy>
  <dcterms:modified xsi:type="dcterms:W3CDTF">2025-10-25T10:32:41Z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7BCA695AB351488480BCBDBAAF5923C1</vt:lpwstr>
  </property>
  <property fmtid="{D5CDD505-2E9C-101B-9397-08002B2CF9AE}" pid="4" name="KSOTemplateDocerSaveRecord">
    <vt:lpwstr>eyJoZGlkIjoiODM2MGQ5OTA4MzQzODIzZGFjMzUzMjljNzgyYTQ3NTMiLCJ1c2VySWQiOiIzNjcyOTAzODIifQ==</vt:lpwstr>
  </property>
</Properties>
</file>