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浑源县企业养老保险管理服务中心</w:t>
      </w:r>
    </w:p>
    <w:p>
      <w:pPr>
        <w:jc w:val="center"/>
        <w:rPr>
          <w:rFonts w:ascii="黑体" w:hAnsi="黑体" w:eastAsia="黑体"/>
          <w:color w:val="000000" w:themeColor="text1"/>
          <w:sz w:val="36"/>
          <w:szCs w:val="36"/>
          <w14:textFill>
            <w14:solidFill>
              <w14:schemeClr w14:val="tx1"/>
            </w14:solidFill>
          </w14:textFill>
        </w:rPr>
      </w:pPr>
      <w:r>
        <w:rPr>
          <w:rFonts w:hint="eastAsia" w:ascii="黑体" w:hAnsi="黑体" w:eastAsia="黑体"/>
          <w:color w:val="000000" w:themeColor="text1"/>
          <w:sz w:val="36"/>
          <w:szCs w:val="36"/>
          <w14:textFill>
            <w14:solidFill>
              <w14:schemeClr w14:val="tx1"/>
            </w14:solidFill>
          </w14:textFill>
        </w:rPr>
        <w:t>202</w:t>
      </w:r>
      <w:r>
        <w:rPr>
          <w:rFonts w:ascii="黑体" w:hAnsi="黑体" w:eastAsia="黑体"/>
          <w:color w:val="000000" w:themeColor="text1"/>
          <w:sz w:val="36"/>
          <w:szCs w:val="36"/>
          <w14:textFill>
            <w14:solidFill>
              <w14:schemeClr w14:val="tx1"/>
            </w14:solidFill>
          </w14:textFill>
        </w:rPr>
        <w:t>1</w:t>
      </w:r>
      <w:r>
        <w:rPr>
          <w:rFonts w:hint="eastAsia" w:ascii="黑体" w:hAnsi="黑体" w:eastAsia="黑体"/>
          <w:color w:val="000000" w:themeColor="text1"/>
          <w:sz w:val="36"/>
          <w:szCs w:val="36"/>
          <w14:textFill>
            <w14:solidFill>
              <w14:schemeClr w14:val="tx1"/>
            </w14:solidFill>
          </w14:textFill>
        </w:rPr>
        <w:t>年度部门决算公开说明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目录</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 部门及单位概况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一、部门职责</w:t>
      </w:r>
    </w:p>
    <w:p>
      <w:pPr>
        <w:numPr>
          <w:ilvl w:val="0"/>
          <w:numId w:val="1"/>
        </w:num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 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表一：GK01 收入支出决算总表(公开01表)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表二：GK02 收入决算表(公开02表)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表三：GK03 支出决算表(公开03表)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表四：GK04 财政拨款收入支出决算总表(公开04表)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表五：GK05 一般公共预算财政拨款支出决算表（一）(公开05表)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表六：GK06 一般公共预算财政拨款支出决算表（二）(公开06表)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表七：GK07 一般公共预算财政拨款“三公”经费支出决算表(公开07)</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表八：GK08 政府性基金预算财政拨款收入支出决算表(公开08表)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表九：GK09 国有资本经营预算财政拨款支出决算表(公开09表)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表十：GK10 部门决算公开相关信息统计表(公开10表)</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 2021年度部门决算情况说明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第四部分 部门名词解释</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内容</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第一部分：浑源县企业养老保险管理服务中心概况</w:t>
      </w:r>
    </w:p>
    <w:p>
      <w:pPr>
        <w:numPr>
          <w:ilvl w:val="0"/>
          <w:numId w:val="2"/>
        </w:num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部门职责</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sz w:val="32"/>
          <w:szCs w:val="32"/>
          <w:lang w:eastAsia="zh-CN"/>
        </w:rPr>
        <w:t>发展社会劳动保险，加强全县社会保障。负责全县企业养老保险费的征缴和发放工作。</w:t>
      </w:r>
    </w:p>
    <w:p>
      <w:pPr>
        <w:numPr>
          <w:ilvl w:val="0"/>
          <w:numId w:val="2"/>
        </w:numPr>
        <w:ind w:left="0" w:leftChars="0"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机构设置</w:t>
      </w:r>
    </w:p>
    <w:p>
      <w:pPr>
        <w:spacing w:line="360" w:lineRule="auto"/>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sz w:val="32"/>
          <w:szCs w:val="32"/>
          <w:lang w:val="en-US" w:eastAsia="zh-CN"/>
        </w:rPr>
        <w:t>内设科室有：办公室、档案科、财务科、参保登记科、征缴核定科、个人账户管理科、待遇核定发放科、稽核审计科、灵活就业人员科。</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第二部分：2021年度部门决算公开报表</w:t>
      </w:r>
    </w:p>
    <w:p>
      <w:pPr>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附件：大同市浑源县企业养老保险管理服务中心-2021年度部门决算公开报表.xls</w:t>
      </w:r>
    </w:p>
    <w:p>
      <w:pPr>
        <w:rPr>
          <w:rFonts w:hint="eastAsia" w:ascii="仿宋" w:hAnsi="仿宋" w:eastAsia="仿宋" w:cs="仿宋"/>
          <w:b/>
          <w:color w:val="000000" w:themeColor="text1"/>
          <w:kern w:val="0"/>
          <w:sz w:val="32"/>
          <w:szCs w:val="32"/>
          <w14:textFill>
            <w14:solidFill>
              <w14:schemeClr w14:val="tx1"/>
            </w14:solidFill>
          </w14:textFill>
        </w:rPr>
      </w:pPr>
      <w:r>
        <w:rPr>
          <w:rFonts w:hint="eastAsia" w:ascii="仿宋" w:hAnsi="仿宋" w:eastAsia="仿宋" w:cs="仿宋"/>
          <w:b/>
          <w:color w:val="000000" w:themeColor="text1"/>
          <w:kern w:val="0"/>
          <w:sz w:val="32"/>
          <w:szCs w:val="32"/>
          <w14:textFill>
            <w14:solidFill>
              <w14:schemeClr w14:val="tx1"/>
            </w14:solidFill>
          </w14:textFill>
        </w:rPr>
        <w:t>第三部分：2021年度部门决算情况说明</w:t>
      </w:r>
    </w:p>
    <w:p>
      <w:pPr>
        <w:ind w:left="424"/>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一、决算收入情况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收入为4781.64万元，上年度总收入为3457.07万元，增减38.31 %。其中：一般公共预算财政拨款本年度收入为4781.64万元，上年度收入为3457.07万元，增减38.31 %；政府性基金预算财政拨款本年度收入为0万元，上年度收入为0万元，增减0 %；事业收入本年度收入为0万元，上年度收入为0万元，增减0 %；其他收入本年度收入为0万元，上年度收入为0万元，增减-100%。</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二、决算支出情况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总支出为4781.64万元，上年度总支出为3457.07万元，增减38.31%。其中：基本支出本年度支出为95.64万元，上年度支出为121.6万元，增减-21.35 %；项目支出本年度支出为4686万元，上年度支出为3335.47万元，增减40.49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三、“三公”经费情况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三公”经费总支出为0.14万元，上年度支出为0.2万元，增减-31.44 %；其中：因公出国（境）费本年度支出0万元，上年度支出为0万元，增减0 %；公务用车购置及运行维护费支出为0.14万元，上年度支出为0.2万元，增减-31.44 %；公务接待费支出为0万元，上年度支出为0万元，增减0 %。</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四、机关运行经费情况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本单位本年度机关运行经费总支出为0万元，上年度支出为0万元，增减0 %；主要为日常办公费、水电、差旅、印刷、委托业务费等费用。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五、政府决算采购情况说明</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本单位本年度政府采购总价为1.37万元，其中：货物采购1.37万元，工程采购0万元，服务采购0万元。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六、国有资产占有使用情况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（1）房屋情况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截止2021年12月31日， 我单位产权房屋面积为324平方米，价值22.22万元。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（2）车辆情况</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 xml:space="preserve"> 单位账面车辆为0辆，价值0万元。</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七、绩效情况说明</w:t>
      </w:r>
    </w:p>
    <w:p>
      <w:pPr>
        <w:ind w:firstLine="640" w:firstLineChars="200"/>
        <w:rPr>
          <w:rFonts w:hint="eastAsia" w:ascii="仿宋" w:hAnsi="仿宋" w:eastAsia="仿宋" w:cs="仿宋"/>
          <w:color w:val="000000" w:themeColor="text1"/>
          <w:kern w:val="0"/>
          <w:sz w:val="32"/>
          <w:szCs w:val="32"/>
          <w:lang w:eastAsia="zh-CN"/>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w:t>
      </w:r>
      <w:r>
        <w:rPr>
          <w:rFonts w:hint="eastAsia" w:ascii="仿宋" w:hAnsi="仿宋" w:eastAsia="仿宋" w:cs="仿宋"/>
          <w:color w:val="000000" w:themeColor="text1"/>
          <w:kern w:val="0"/>
          <w:sz w:val="32"/>
          <w:szCs w:val="32"/>
          <w:lang w:val="en-US" w:eastAsia="zh-CN"/>
          <w14:textFill>
            <w14:solidFill>
              <w14:schemeClr w14:val="tx1"/>
            </w14:solidFill>
          </w14:textFill>
        </w:rPr>
        <w:t>1</w:t>
      </w:r>
      <w:r>
        <w:rPr>
          <w:rFonts w:hint="eastAsia" w:ascii="仿宋" w:hAnsi="仿宋" w:eastAsia="仿宋" w:cs="仿宋"/>
          <w:color w:val="000000" w:themeColor="text1"/>
          <w:kern w:val="0"/>
          <w:sz w:val="32"/>
          <w:szCs w:val="32"/>
          <w:lang w:eastAsia="zh-CN"/>
          <w14:textFill>
            <w14:solidFill>
              <w14:schemeClr w14:val="tx1"/>
            </w14:solidFill>
          </w14:textFill>
        </w:rPr>
        <w:t>）预算绩效管理工作开展情况</w:t>
      </w:r>
    </w:p>
    <w:p>
      <w:pPr>
        <w:ind w:firstLine="640" w:firstLineChars="20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eastAsia="zh-CN"/>
          <w14:textFill>
            <w14:solidFill>
              <w14:schemeClr w14:val="tx1"/>
            </w14:solidFill>
          </w14:textFill>
        </w:rPr>
        <w:t>根据预算绩效管理要求，我单位对</w:t>
      </w:r>
      <w:r>
        <w:rPr>
          <w:rFonts w:hint="eastAsia" w:ascii="仿宋" w:hAnsi="仿宋" w:eastAsia="仿宋" w:cs="仿宋"/>
          <w:color w:val="000000" w:themeColor="text1"/>
          <w:kern w:val="0"/>
          <w:sz w:val="32"/>
          <w:szCs w:val="32"/>
          <w:lang w:val="en-US" w:eastAsia="zh-CN"/>
          <w14:textFill>
            <w14:solidFill>
              <w14:schemeClr w14:val="tx1"/>
            </w14:solidFill>
          </w14:textFill>
        </w:rPr>
        <w:t>2021年度县级财政预算安排的专项资金类2个项目支出全面开展绩效自评，涉及预算资金4686万元，占一般公共预算项目支出总额的100%。我单位无政府性基金预算项目支出，没有对2021年度政府性基金预算项目支出开展绩效自评。</w:t>
      </w:r>
    </w:p>
    <w:p>
      <w:pPr>
        <w:numPr>
          <w:ilvl w:val="0"/>
          <w:numId w:val="3"/>
        </w:numPr>
        <w:ind w:firstLine="640" w:firstLineChars="20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部门决算中项目绩效自评结果</w:t>
      </w:r>
    </w:p>
    <w:p>
      <w:pPr>
        <w:numPr>
          <w:ilvl w:val="0"/>
          <w:numId w:val="0"/>
        </w:numPr>
        <w:ind w:firstLine="640" w:firstLineChars="20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根据年初设定的绩效目标，项目自评得分为100分。全年预算数为15万元，执行数为15万元，完成预算的100%。项目绩效目标完成情况：一是购置了办公用品保障了办公正常所需；二是聘用临时工3名。发现的主要问题及原因：无。下一步改进措施及管理建议：认真执行，积极完成；</w:t>
      </w:r>
    </w:p>
    <w:p>
      <w:pPr>
        <w:numPr>
          <w:ilvl w:val="0"/>
          <w:numId w:val="0"/>
        </w:numPr>
        <w:ind w:firstLine="640" w:firstLineChars="200"/>
        <w:rPr>
          <w:rFonts w:hint="eastAsia" w:ascii="仿宋" w:hAnsi="仿宋" w:eastAsia="仿宋" w:cs="仿宋"/>
          <w:color w:val="000000" w:themeColor="text1"/>
          <w:kern w:val="0"/>
          <w:sz w:val="32"/>
          <w:szCs w:val="32"/>
          <w:lang w:val="en-US" w:eastAsia="zh-CN"/>
          <w14:textFill>
            <w14:solidFill>
              <w14:schemeClr w14:val="tx1"/>
            </w14:solidFill>
          </w14:textFill>
        </w:rPr>
      </w:pPr>
      <w:r>
        <w:rPr>
          <w:rFonts w:hint="eastAsia" w:ascii="仿宋" w:hAnsi="仿宋" w:eastAsia="仿宋" w:cs="仿宋"/>
          <w:color w:val="000000" w:themeColor="text1"/>
          <w:kern w:val="0"/>
          <w:sz w:val="32"/>
          <w:szCs w:val="32"/>
          <w:lang w:val="en-US" w:eastAsia="zh-CN"/>
          <w14:textFill>
            <w14:solidFill>
              <w14:schemeClr w14:val="tx1"/>
            </w14:solidFill>
          </w14:textFill>
        </w:rPr>
        <w:t>根据年初设定的绩效目标，项目自评得分为99.64分。全年预算数为4671万元，执行数为4671万元，完成预算的100%。项目绩效目标完成情况：2021年企业养老保险省级统筹市县区分担额按时完成了上解。发现的主要问题及原因：无。下一步改进措施及管理建议：认真执行，提高重视。</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第四部分 部门名词解释</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一、财政拨款：财政拨款包括一般公共预算财政拨款、政府性基金预算财政拨款和国有资本经营预算财政拨款。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3、国有资本经营预算。是国家以所有者身份依法取得国有资本收益，并对所得收益进行分配而发生的各项收支预算。国有资本经营预算应当按照收支平衡原则编制，不列赤字，并安排资金调入一般公共预算。</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二、收入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1、财政拨款收入：单位本年度从本级财政部门取得的财政拨款，包括一般公共预算财政拨款、政府性基金预算财政拨款和国有资本经营预算财政拨款。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一级预算单位收到的应拨给下级单位使用的款项，年终决算时尚未拨出的，在编报时列为本单位财政拨款。</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2、上级补助收入：填列事业单位从主管部门和上级单位取得的非财政补助收入。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3、事业收入：填列事业单位开展专业业务活动及其辅助活动取得的收入；事业单位收到的财政专户实际核拨的教育收费等资金在此反映。</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4、经营收入：填列事业单位在专业业务活动及其辅助活动之外开展非独立核算经营活动取得的收入。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5、附属单位上缴收入：填列事业单位附独立核算单位按照有关规定上缴的收入。</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事业单位开展专业业务活动及辅助活动并以合同形式从本级财政部门以外的同级单位取得的经费，不在本项反映，应填列在“事业收入”栏。</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三、支出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1、基本支出：填列单位为保障机构正常运转、完成日常工作任务而发生的各项支出。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2、项目支出：填列单位为完成特定的行政工作任务或事业发展目标，在基本支出之外发生的各项支出。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3、上缴上级支出：填列事业单位按照财政部门和主管部门的规定上缴上级单位的支出。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4、经营支出：填列事业单位在专业活动及辅助活动之外开展非独立核算经营活动发生的支出。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5、附属单位补助支出：填列事业单位用财政补助收入之外的收入对附属单位补助发生的支出。</w:t>
      </w:r>
    </w:p>
    <w:p>
      <w:pPr>
        <w:ind w:firstLine="640" w:firstLineChars="200"/>
        <w:rPr>
          <w:rFonts w:hint="eastAsia" w:ascii="仿宋" w:hAnsi="仿宋" w:eastAsia="仿宋" w:cs="仿宋"/>
          <w:color w:val="000000" w:themeColor="text1"/>
          <w:kern w:val="0"/>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6、主管部门在汇总决算时，应使用调整表对“上缴上级支出”“对附属单位补助支出”与收入表中“附属单位上缴收入”“上级补助收入”进行冲抵。</w:t>
      </w:r>
    </w:p>
    <w:p>
      <w:pPr>
        <w:ind w:firstLine="640" w:firstLineChars="2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kern w:val="0"/>
          <w:sz w:val="32"/>
          <w:szCs w:val="32"/>
          <w14:textFill>
            <w14:solidFill>
              <w14:schemeClr w14:val="tx1"/>
            </w14:solidFill>
          </w14:textFill>
        </w:rPr>
        <w:t>四、“三公”经费：一般公共预算安排的因公出国（境）费、公务用车购置及运行费和公务接待费。</w:t>
      </w:r>
      <w:r>
        <w:rPr>
          <w:rFonts w:hint="eastAsia" w:ascii="仿宋" w:hAnsi="仿宋" w:eastAsia="仿宋" w:cs="仿宋"/>
          <w:color w:val="000000" w:themeColor="text1"/>
          <w:sz w:val="32"/>
          <w:szCs w:val="32"/>
          <w14:textFill>
            <w14:solidFill>
              <w14:schemeClr w14:val="tx1"/>
            </w14:solidFill>
          </w14:textFill>
        </w:rPr>
        <w:t xml:space="preserve">                                                       </w:t>
      </w:r>
    </w:p>
    <w:p>
      <w:pPr>
        <w:ind w:firstLine="3200" w:firstLineChars="1000"/>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浑源县企业养老保险管理服务中心</w:t>
      </w:r>
    </w:p>
    <w:p>
      <w:pPr>
        <w:ind w:firstLine="4480" w:firstLineChars="1400"/>
        <w:jc w:val="both"/>
        <w:rPr>
          <w:rFonts w:hint="eastAsia" w:ascii="仿宋" w:hAnsi="仿宋" w:eastAsia="仿宋" w:cs="仿宋"/>
          <w:color w:val="000000" w:themeColor="text1"/>
          <w:sz w:val="32"/>
          <w:szCs w:val="32"/>
          <w14:textFill>
            <w14:solidFill>
              <w14:schemeClr w14:val="tx1"/>
            </w14:solidFill>
          </w14:textFill>
        </w:rPr>
        <w:sectPr>
          <w:pgSz w:w="11906" w:h="16838"/>
          <w:pgMar w:top="1440" w:right="1800" w:bottom="1440" w:left="1800" w:header="851" w:footer="992" w:gutter="0"/>
          <w:pgNumType w:start="1"/>
          <w:cols w:space="425" w:num="1"/>
          <w:docGrid w:type="lines" w:linePitch="312" w:charSpace="0"/>
        </w:sectPr>
      </w:pPr>
      <w:bookmarkStart w:id="0" w:name="_GoBack"/>
      <w:bookmarkEnd w:id="0"/>
      <w:r>
        <w:rPr>
          <w:rFonts w:hint="eastAsia" w:ascii="仿宋" w:hAnsi="仿宋" w:eastAsia="仿宋" w:cs="仿宋"/>
          <w:color w:val="000000" w:themeColor="text1"/>
          <w:sz w:val="32"/>
          <w:szCs w:val="32"/>
          <w14:textFill>
            <w14:solidFill>
              <w14:schemeClr w14:val="tx1"/>
            </w14:solidFill>
          </w14:textFill>
        </w:rPr>
        <w:t>2022年7月15日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3C1B39B"/>
    <w:multiLevelType w:val="singleLevel"/>
    <w:tmpl w:val="A3C1B39B"/>
    <w:lvl w:ilvl="0" w:tentative="0">
      <w:start w:val="2"/>
      <w:numFmt w:val="decimal"/>
      <w:suff w:val="nothing"/>
      <w:lvlText w:val="（%1）"/>
      <w:lvlJc w:val="left"/>
    </w:lvl>
  </w:abstractNum>
  <w:abstractNum w:abstractNumId="1">
    <w:nsid w:val="1070C890"/>
    <w:multiLevelType w:val="singleLevel"/>
    <w:tmpl w:val="1070C890"/>
    <w:lvl w:ilvl="0" w:tentative="0">
      <w:start w:val="1"/>
      <w:numFmt w:val="chineseCounting"/>
      <w:suff w:val="nothing"/>
      <w:lvlText w:val="%1、"/>
      <w:lvlJc w:val="left"/>
      <w:rPr>
        <w:rFonts w:hint="eastAsia"/>
      </w:rPr>
    </w:lvl>
  </w:abstractNum>
  <w:abstractNum w:abstractNumId="2">
    <w:nsid w:val="5AB545AB"/>
    <w:multiLevelType w:val="singleLevel"/>
    <w:tmpl w:val="5AB545AB"/>
    <w:lvl w:ilvl="0" w:tentative="0">
      <w:start w:val="2"/>
      <w:numFmt w:val="chineseCounting"/>
      <w:suff w:val="nothing"/>
      <w:lvlText w:val="%1、"/>
      <w:lvlJc w:val="left"/>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RjYzliMGJlNDY1MWY1ZTk2MGU5YjNjZjg5MTNlODcifQ=="/>
  </w:docVars>
  <w:rsids>
    <w:rsidRoot w:val="7E004F8D"/>
    <w:rsid w:val="09016768"/>
    <w:rsid w:val="13D4067F"/>
    <w:rsid w:val="1AD672E7"/>
    <w:rsid w:val="1DD6638C"/>
    <w:rsid w:val="25347FF8"/>
    <w:rsid w:val="27BD1CA7"/>
    <w:rsid w:val="2D590D95"/>
    <w:rsid w:val="325D20BC"/>
    <w:rsid w:val="421B7A86"/>
    <w:rsid w:val="449B4334"/>
    <w:rsid w:val="55E31E55"/>
    <w:rsid w:val="59D44F30"/>
    <w:rsid w:val="5E7517A2"/>
    <w:rsid w:val="643D3D60"/>
    <w:rsid w:val="68C8427C"/>
    <w:rsid w:val="6EFA06B8"/>
    <w:rsid w:val="762C27FD"/>
    <w:rsid w:val="7E004F8D"/>
    <w:rsid w:val="7E7260A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2787</Words>
  <Characters>3005</Characters>
  <Lines>0</Lines>
  <Paragraphs>0</Paragraphs>
  <TotalTime>24</TotalTime>
  <ScaleCrop>false</ScaleCrop>
  <LinksUpToDate>false</LinksUpToDate>
  <CharactersWithSpaces>3143</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2022-07-13T03:13:00Z</dcterms:created>
  <dc:creator>Administrator</dc:creator>
  <cp:lastModifiedBy>Administrator</cp:lastModifiedBy>
  <dcterms:modified xsi:type="dcterms:W3CDTF">2022-07-26T08:41:12Z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825D2E1D5B684006A3EC616D2A65B20A</vt:lpwstr>
  </property>
</Properties>
</file>