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w:t>
      </w:r>
      <w:r>
        <w:rPr>
          <w:rFonts w:hint="eastAsia" w:ascii="黑体" w:hAnsi="黑体" w:eastAsia="黑体" w:cs="黑体"/>
          <w:color w:val="000000" w:themeColor="text1"/>
          <w:sz w:val="36"/>
          <w:szCs w:val="36"/>
          <w:lang w:eastAsia="zh-CN"/>
          <w14:textFill>
            <w14:solidFill>
              <w14:schemeClr w14:val="tx1"/>
            </w14:solidFill>
          </w14:textFill>
        </w:rPr>
        <w:t>退役军人事务局</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numPr>
          <w:ilvl w:val="0"/>
          <w:numId w:val="1"/>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w:t>
      </w:r>
      <w:r>
        <w:rPr>
          <w:rFonts w:hint="eastAsia" w:ascii="仿宋" w:hAnsi="仿宋" w:eastAsia="仿宋" w:cs="仿宋"/>
          <w:b/>
          <w:color w:val="000000" w:themeColor="text1"/>
          <w:kern w:val="0"/>
          <w:sz w:val="32"/>
          <w:szCs w:val="32"/>
          <w:lang w:eastAsia="zh-CN"/>
          <w14:textFill>
            <w14:solidFill>
              <w14:schemeClr w14:val="tx1"/>
            </w14:solidFill>
          </w14:textFill>
        </w:rPr>
        <w:t>退役军人事务局</w:t>
      </w:r>
      <w:r>
        <w:rPr>
          <w:rFonts w:hint="eastAsia" w:ascii="仿宋" w:hAnsi="仿宋" w:eastAsia="仿宋" w:cs="仿宋"/>
          <w:b/>
          <w:color w:val="000000" w:themeColor="text1"/>
          <w:kern w:val="0"/>
          <w:sz w:val="32"/>
          <w:szCs w:val="32"/>
          <w14:textFill>
            <w14:solidFill>
              <w14:schemeClr w14:val="tx1"/>
            </w14:solidFill>
          </w14:textFill>
        </w:rPr>
        <w:t>概况</w:t>
      </w:r>
    </w:p>
    <w:p>
      <w:pPr>
        <w:numPr>
          <w:ilvl w:val="0"/>
          <w:numId w:val="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组织实施退役军人思想政治、管理保障和安置优抚等工作的政策法规，拟订我县相关规章并组织实施。褒扬彰显退役军人为党、国家和人民牺牲奉献的精神风范和价值导向。</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负责军队转业干部、复员干部、离休退休干部、退役士兵 和无军籍职工的接收安置工作和自主择业、就业退役军人服务管理工作。</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组织指导退役军人教育培训工作，协调扶持退役军人和随军家属就业创业。</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组织实施国家和省、市、县关于退役军人特殊保障的相关政策规定，会同有关部门制定我县退役军人特殊保障的规章并组织实施。</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组织协调落实移交地方的离休退休军人、符合条件的其他退役军人和无军籍退休退职职工的住房保障工作，以及退役军人医疗保障、社会保险等待遇保障工作。</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组织开展伤病残退役军人服务管理和抚恤工作，组织落实有关退役军人医疗、疗养、养老机构的规划政策。承担不适宜继续服役的伤病残军人相关工作。</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组织开展全县拥军优属工作。负责现役军人、退役军人、军队文职人员和军属优待、抚恤等工作。</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烈士及退役军人荣誉奖励、军人公墓管理维护、纪念活动等工作，依法承担影响烈士保护相关工作，申报拟列入全省重点保护单位的烈士纪念建筑物名录，总结表彰和宣扬退役军人、退役军人工作单位和个人先进典型事迹。</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指导并监督检查退役军人相关法律法规和政策措施的落实、组织开展退役军人权益维护和有关人员的帮扶援助工作。</w:t>
      </w:r>
    </w:p>
    <w:p>
      <w:pPr>
        <w:numPr>
          <w:ilvl w:val="0"/>
          <w:numId w:val="3"/>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完成县委、县人民政府交办的其他任务，配合部队完成退役军人其他相关工作。</w:t>
      </w:r>
    </w:p>
    <w:p>
      <w:pPr>
        <w:numPr>
          <w:ilvl w:val="0"/>
          <w:numId w:val="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val="en-US" w:eastAsia="zh-CN"/>
        </w:rPr>
        <w:t>职能转变。县退役军人事务局应加强退役军人思想政治工作和服务保障体系建设，建立健全集中统一、职责清晰的退役军人管理保障体制；提高政治站位，协调各方力量更好地为军人军属服务、维护军人军属和退役军人合法权益，从实际出发制定切实可行的解困稳定规章；褒扬彰显退役军人为党、国家和人民牺牲奉献的精神风范和价值导向，更好地为增强部队战斗力和凝聚力做好组织保障，让军人成为全社会尊崇的职业。</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numPr>
          <w:ilvl w:val="0"/>
          <w:numId w:val="4"/>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综合办公室。负责机关日常运转，承担人事、党务、计财、资产管理以及离退休人员管理等工作。</w:t>
      </w:r>
    </w:p>
    <w:p>
      <w:pPr>
        <w:numPr>
          <w:ilvl w:val="0"/>
          <w:numId w:val="4"/>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退役军人安置股（浑源县退役军人安置工作领导小组办公室）。按照上级年度安置计划拟订全县军队转业干部、退役士兵安置计划并组织实施，确保安置工作公平公正并督促安置政策的落实。承担退役军人权益维护和有关人员的帮扶援助工作。组织开展就业创业促进和教育培训等工作，组织协调落实退役军人社会保障等待遇保障工作。承担县退役军人安置工作领导小组日常工作。</w:t>
      </w:r>
    </w:p>
    <w:p>
      <w:pPr>
        <w:numPr>
          <w:ilvl w:val="0"/>
          <w:numId w:val="4"/>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拥军优抚股（浑源县拥军优属拥政爱民工作领导组办公室）。承担协调指导全县双拥工作，负责全县现役军人、退役军人、军队文职人员和军属优待、抚恤等工作。按照国家、省市相关政策实施全县优待抚恤工作，承担退役军人伤残评定上报及不适宜继续服役的伤病残军人相关工作，按照上级随军随调家属就业创业安置政策和年度安置计划，协调指导随军随调家属就业安置工作。承担县拥军优属拥政爱民领导组日常工作。</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w:t>
      </w:r>
      <w:r>
        <w:rPr>
          <w:rFonts w:hint="eastAsia" w:ascii="仿宋" w:hAnsi="仿宋" w:eastAsia="仿宋" w:cs="仿宋"/>
          <w:color w:val="000000" w:themeColor="text1"/>
          <w:kern w:val="0"/>
          <w:sz w:val="32"/>
          <w:szCs w:val="32"/>
          <w:lang w:eastAsia="zh-CN"/>
          <w14:textFill>
            <w14:solidFill>
              <w14:schemeClr w14:val="tx1"/>
            </w14:solidFill>
          </w14:textFill>
        </w:rPr>
        <w:t>退役军人事务局</w:t>
      </w:r>
      <w:r>
        <w:rPr>
          <w:rFonts w:hint="eastAsia" w:ascii="仿宋" w:hAnsi="仿宋" w:eastAsia="仿宋" w:cs="仿宋"/>
          <w:color w:val="000000" w:themeColor="text1"/>
          <w:kern w:val="0"/>
          <w:sz w:val="32"/>
          <w:szCs w:val="32"/>
          <w14:textFill>
            <w14:solidFill>
              <w14:schemeClr w14:val="tx1"/>
            </w14:solidFill>
          </w14:textFill>
        </w:rPr>
        <w:t>-2021年度部门决算公开报表.xls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5347.3万元，上年度总收入为2585.81万元，增减106.79 %。其中：一般公共预算财政拨款本年度收入为5347.3万元，上年度收入为2585.8万元，增减106.79 %；政府性基金预算财政拨款本年度收入为0万元，上年度收入为0万元，增减0 %；事业收入本年度收入为0万元，上年度收入为0万元，增减0 %；其他收入本年度收入为0万元，上年度收入为0.01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5353.23万元，上年度总支出为2579.88万元，增减107.5%。其中：基本支出本年度支出为166.32万元，上年度支出为83.06万元，增减100.25 %；项目支出本年度支出为5186.91万元，上年度支出为2496.82万元，增减107.74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本单位本年度机关运行经费总支出为9.24万元，上年度支出为6.7万元，增减37.78 %；主要为日常办公费、水电、差旅、印刷、委托业务费等费用。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本单位本年度政府采购总价为1.03万元，其中：货物采购1.03万元，工程采购0万元，服务采购0万元。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根据预算绩效管理要求，我部门组织对2021年度县级财政预算安排的专项资金类45个项目支出全面开展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，涉及预算资金5172.08万元，占一般公共预算项目支出总额的99.71%。我部门无政府性基金预算项目支出，没有对2021年度政府性基金预算项目支出开展绩效自评。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优抚对象补助经费项目绩效自评综述：根据年初设定的绩效目标，项目自评得分为98.75分。全年预算数为1553.91万元，执行数为1499.16万元，完成预算的96.48%。项目绩效目标完成情况：一是已为2000多名优抚对象发放优抚款；二是已根据相关政策足额按月按标准发放。发现的主要问题及原因：一是绩效评价工作相关规定和制度仍需要在具体的实施过程中进一步巩固完善；二是部分干部职工对绩效评价工作认识和重视程度还有待加强。下一步改进措施：一是进一步立足我单位工作实际，改进和加强绩效评价工作；二是更好地改进工作作风，更进一步提升工作效能。</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2018年度-2021年上半年度入伍新兵优待金项目绩效自评综述：根据年初设定的绩效目标，项目自评得分为100分。全年预算数为2555.19万元，执行数为2555.19万元，完成预算的100%。项目绩效目标完成情况：一是已为2018年-2021年度上半年入伍新兵发放家庭优待金；二是已根据相关政策足额按标准发放。发现的主要问题及原因：一是绩效评价工作相关规定和制度仍需要在具体的实施过程中进一步巩固完善；二是部分干部职工对绩效评价工作认识和重视程度还有待加强。下一步改进措施：一是进一步立足我单位工作实际，改进和加强绩效评价工作；二是更好地改进工作作风，更进一步提升工作效能。</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自主就业退役士兵一次性经济补助项目绩效自评综述：根据年初设定的绩效目标，项目自评得分为100分。全年预算数为129.15万元，执行数为129.15万元，完成预算的100%。项目绩效目标完成情况：一是已为72名自主就业退役士兵发放一次性经济补助；二是已根据相关政策足额按标准发放。发现的主要问题及原因：一是绩效评价工作相关规定和制度仍需要在具体的实施过程中进一步巩固完善；二是部分干部职工对绩效评价工作认识和重视程度还有待加强。下一步改进措施：一是进一步立足我单位工作实际，改进和加强绩效评价工作；二是更好地改进工作作风，更进一步提升工作效能。</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浑源县退役军人事务局</w:t>
      </w:r>
    </w:p>
    <w:p>
      <w:pPr>
        <w:jc w:val="cente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6B2DF"/>
    <w:multiLevelType w:val="singleLevel"/>
    <w:tmpl w:val="C596B2DF"/>
    <w:lvl w:ilvl="0" w:tentative="0">
      <w:start w:val="1"/>
      <w:numFmt w:val="decimal"/>
      <w:suff w:val="nothing"/>
      <w:lvlText w:val="%1、"/>
      <w:lvlJc w:val="left"/>
    </w:lvl>
  </w:abstractNum>
  <w:abstractNum w:abstractNumId="1">
    <w:nsid w:val="1EA414A6"/>
    <w:multiLevelType w:val="singleLevel"/>
    <w:tmpl w:val="1EA414A6"/>
    <w:lvl w:ilvl="0" w:tentative="0">
      <w:start w:val="1"/>
      <w:numFmt w:val="decimal"/>
      <w:suff w:val="nothing"/>
      <w:lvlText w:val="%1、"/>
      <w:lvlJc w:val="left"/>
    </w:lvl>
  </w:abstractNum>
  <w:abstractNum w:abstractNumId="2">
    <w:nsid w:val="3E3362D4"/>
    <w:multiLevelType w:val="singleLevel"/>
    <w:tmpl w:val="3E3362D4"/>
    <w:lvl w:ilvl="0" w:tentative="0">
      <w:start w:val="2"/>
      <w:numFmt w:val="chineseCounting"/>
      <w:suff w:val="nothing"/>
      <w:lvlText w:val="%1、"/>
      <w:lvlJc w:val="left"/>
      <w:rPr>
        <w:rFonts w:hint="eastAsia"/>
      </w:rPr>
    </w:lvl>
  </w:abstractNum>
  <w:abstractNum w:abstractNumId="3">
    <w:nsid w:val="6B674DAD"/>
    <w:multiLevelType w:val="singleLevel"/>
    <w:tmpl w:val="6B674DAD"/>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Yjc4OGJjZTg3OTgyYjk4YzUzZmFmYTBmOGI4NTQifQ=="/>
  </w:docVars>
  <w:rsids>
    <w:rsidRoot w:val="0DED0890"/>
    <w:rsid w:val="02E21CD8"/>
    <w:rsid w:val="031A3B2E"/>
    <w:rsid w:val="098F47AB"/>
    <w:rsid w:val="0DED0890"/>
    <w:rsid w:val="0F1839D3"/>
    <w:rsid w:val="163A4295"/>
    <w:rsid w:val="202F5DEE"/>
    <w:rsid w:val="3665224C"/>
    <w:rsid w:val="426F7387"/>
    <w:rsid w:val="49BC0229"/>
    <w:rsid w:val="69F565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4362</Words>
  <Characters>4630</Characters>
  <Lines>0</Lines>
  <Paragraphs>0</Paragraphs>
  <TotalTime>1</TotalTime>
  <ScaleCrop>false</ScaleCrop>
  <LinksUpToDate>false</LinksUpToDate>
  <CharactersWithSpaces>4713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2022-07-13T09:11:00Z</dcterms:created>
  <dc:creator>天使的泪1382094789</dc:creator>
  <cp:lastModifiedBy>Administrator</cp:lastModifiedBy>
  <dcterms:modified xsi:type="dcterms:W3CDTF">2022-07-19T03:35:08Z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1F198B0C68A2481B903F564DAFA4A490</vt:lpwstr>
  </property>
</Properties>
</file>