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color w:val="000000" w:themeColor="text1"/>
          <w:sz w:val="36"/>
          <w:szCs w:val="36"/>
          <w14:textFill>
            <w14:solidFill>
              <w14:schemeClr w14:val="tx1"/>
            </w14:solidFill>
          </w14:textFill>
        </w:rPr>
      </w:pPr>
      <w:r>
        <w:rPr>
          <w:rFonts w:hint="eastAsia" w:ascii="黑体" w:hAnsi="黑体" w:eastAsia="黑体" w:cs="黑体"/>
          <w:color w:val="000000" w:themeColor="text1"/>
          <w:sz w:val="36"/>
          <w:szCs w:val="36"/>
          <w14:textFill>
            <w14:solidFill>
              <w14:schemeClr w14:val="tx1"/>
            </w14:solidFill>
          </w14:textFill>
        </w:rPr>
        <w:t>浑源县污水处理厂</w:t>
      </w:r>
    </w:p>
    <w:p>
      <w:pPr>
        <w:jc w:val="center"/>
        <w:rPr>
          <w:rFonts w:hint="eastAsia" w:ascii="黑体" w:hAnsi="黑体" w:eastAsia="黑体" w:cs="黑体"/>
          <w:color w:val="000000" w:themeColor="text1"/>
          <w:sz w:val="36"/>
          <w:szCs w:val="36"/>
          <w14:textFill>
            <w14:solidFill>
              <w14:schemeClr w14:val="tx1"/>
            </w14:solidFill>
          </w14:textFill>
        </w:rPr>
      </w:pPr>
      <w:r>
        <w:rPr>
          <w:rFonts w:hint="eastAsia" w:ascii="黑体" w:hAnsi="黑体" w:eastAsia="黑体" w:cs="黑体"/>
          <w:color w:val="000000" w:themeColor="text1"/>
          <w:sz w:val="36"/>
          <w:szCs w:val="36"/>
          <w14:textFill>
            <w14:solidFill>
              <w14:schemeClr w14:val="tx1"/>
            </w14:solidFill>
          </w14:textFill>
        </w:rPr>
        <w:t>202</w:t>
      </w:r>
      <w:r>
        <w:rPr>
          <w:rFonts w:hint="eastAsia" w:ascii="黑体" w:hAnsi="黑体" w:eastAsia="黑体" w:cs="黑体"/>
          <w:color w:val="000000" w:themeColor="text1"/>
          <w:sz w:val="36"/>
          <w:szCs w:val="36"/>
          <w14:textFill>
            <w14:solidFill>
              <w14:schemeClr w14:val="tx1"/>
            </w14:solidFill>
          </w14:textFill>
        </w:rPr>
        <w:t>1</w:t>
      </w:r>
      <w:r>
        <w:rPr>
          <w:rFonts w:hint="eastAsia" w:ascii="黑体" w:hAnsi="黑体" w:eastAsia="黑体" w:cs="黑体"/>
          <w:color w:val="000000" w:themeColor="text1"/>
          <w:sz w:val="36"/>
          <w:szCs w:val="36"/>
          <w14:textFill>
            <w14:solidFill>
              <w14:schemeClr w14:val="tx1"/>
            </w14:solidFill>
          </w14:textFill>
        </w:rPr>
        <w:t>年度部门决算公开说明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目录</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 部门及单位概况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一、部门职责</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二、机构设置</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 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表一：GK01 收入支出决算总表(公开01表)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表二：GK02 收入决算表(公开02表)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表三：GK03 支出决算表(公开03表)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表四：GK04 财政拨款收入支出决算总表(公开04表)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表五：GK05 一般公共预算财政拨款支出决算表（一）(公开05表)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表六：GK06 一般公共预算财政拨款支出决算表（二）(公开06表)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表七：GK07 一般公共预算财政拨款“三公”经费支出决算表(公开07)</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表八：GK08 政府性基金预算财政拨款收入支出决算表(公开08表)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表九：GK09 国有资本经营预算财政拨款支出决算表(公开09表)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表十：GK10 部门决算公开相关信息统计表(公开10表)</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 2021年度部门决算情况说明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第四部分 部门名词解释</w:t>
      </w:r>
    </w:p>
    <w:p>
      <w:pPr>
        <w:rPr>
          <w:rFonts w:ascii="黑体" w:hAnsi="黑体" w:eastAsia="黑体"/>
          <w:b/>
          <w:color w:val="000000" w:themeColor="text1"/>
          <w:kern w:val="0"/>
          <w:szCs w:val="21"/>
          <w14:textFill>
            <w14:solidFill>
              <w14:schemeClr w14:val="tx1"/>
            </w14:solidFill>
          </w14:textFill>
        </w:rPr>
      </w:pPr>
    </w:p>
    <w:p>
      <w:pPr>
        <w:rPr>
          <w:rFonts w:ascii="黑体" w:hAnsi="黑体" w:eastAsia="黑体"/>
          <w:b/>
          <w:color w:val="000000" w:themeColor="text1"/>
          <w:kern w:val="0"/>
          <w:szCs w:val="21"/>
          <w14:textFill>
            <w14:solidFill>
              <w14:schemeClr w14:val="tx1"/>
            </w14:solidFill>
          </w14:textFill>
        </w:rPr>
      </w:pPr>
    </w:p>
    <w:p>
      <w:pPr>
        <w:rPr>
          <w:rFonts w:ascii="黑体" w:hAnsi="黑体" w:eastAsia="黑体"/>
          <w:b/>
          <w:color w:val="000000" w:themeColor="text1"/>
          <w:kern w:val="0"/>
          <w:szCs w:val="21"/>
          <w14:textFill>
            <w14:solidFill>
              <w14:schemeClr w14:val="tx1"/>
            </w14:solidFill>
          </w14:textFill>
        </w:rPr>
      </w:pPr>
    </w:p>
    <w:p>
      <w:pPr>
        <w:rPr>
          <w:rFonts w:ascii="黑体" w:hAnsi="黑体" w:eastAsia="黑体"/>
          <w:b/>
          <w:color w:val="000000" w:themeColor="text1"/>
          <w:kern w:val="0"/>
          <w:szCs w:val="21"/>
          <w14:textFill>
            <w14:solidFill>
              <w14:schemeClr w14:val="tx1"/>
            </w14:solidFill>
          </w14:textFill>
        </w:rPr>
      </w:pPr>
    </w:p>
    <w:p>
      <w:pPr>
        <w:rPr>
          <w:rFonts w:ascii="黑体" w:hAnsi="黑体" w:eastAsia="黑体"/>
          <w:b/>
          <w:color w:val="000000" w:themeColor="text1"/>
          <w:kern w:val="0"/>
          <w:szCs w:val="21"/>
          <w14:textFill>
            <w14:solidFill>
              <w14:schemeClr w14:val="tx1"/>
            </w14:solidFill>
          </w14:textFill>
        </w:rPr>
      </w:pPr>
    </w:p>
    <w:p>
      <w:pPr>
        <w:rPr>
          <w:rFonts w:ascii="黑体" w:hAnsi="黑体" w:eastAsia="黑体"/>
          <w:b/>
          <w:color w:val="000000" w:themeColor="text1"/>
          <w:kern w:val="0"/>
          <w:szCs w:val="21"/>
          <w14:textFill>
            <w14:solidFill>
              <w14:schemeClr w14:val="tx1"/>
            </w14:solidFill>
          </w14:textFill>
        </w:rPr>
      </w:pPr>
    </w:p>
    <w:p>
      <w:pPr>
        <w:rPr>
          <w:rFonts w:ascii="黑体" w:hAnsi="黑体" w:eastAsia="黑体"/>
          <w:b/>
          <w:color w:val="000000" w:themeColor="text1"/>
          <w:kern w:val="0"/>
          <w:szCs w:val="21"/>
          <w14:textFill>
            <w14:solidFill>
              <w14:schemeClr w14:val="tx1"/>
            </w14:solidFill>
          </w14:textFill>
        </w:rPr>
      </w:pPr>
    </w:p>
    <w:p>
      <w:pPr>
        <w:rPr>
          <w:rFonts w:ascii="黑体" w:hAnsi="黑体" w:eastAsia="黑体"/>
          <w:b/>
          <w:color w:val="000000" w:themeColor="text1"/>
          <w:kern w:val="0"/>
          <w:szCs w:val="21"/>
          <w14:textFill>
            <w14:solidFill>
              <w14:schemeClr w14:val="tx1"/>
            </w14:solidFill>
          </w14:textFill>
        </w:rPr>
      </w:pPr>
    </w:p>
    <w:p>
      <w:pPr>
        <w:rPr>
          <w:rFonts w:ascii="黑体" w:hAnsi="黑体" w:eastAsia="黑体"/>
          <w:b/>
          <w:color w:val="000000" w:themeColor="text1"/>
          <w:kern w:val="0"/>
          <w:szCs w:val="21"/>
          <w14:textFill>
            <w14:solidFill>
              <w14:schemeClr w14:val="tx1"/>
            </w14:solidFill>
          </w14:textFill>
        </w:rPr>
      </w:pPr>
    </w:p>
    <w:p>
      <w:pPr>
        <w:rPr>
          <w:rFonts w:ascii="黑体" w:hAnsi="黑体" w:eastAsia="黑体"/>
          <w:b/>
          <w:color w:val="000000" w:themeColor="text1"/>
          <w:kern w:val="0"/>
          <w:szCs w:val="21"/>
          <w14:textFill>
            <w14:solidFill>
              <w14:schemeClr w14:val="tx1"/>
            </w14:solidFill>
          </w14:textFill>
        </w:rPr>
      </w:pPr>
    </w:p>
    <w:p>
      <w:pPr>
        <w:rPr>
          <w:rFonts w:ascii="黑体" w:hAnsi="黑体" w:eastAsia="黑体"/>
          <w:b/>
          <w:color w:val="000000" w:themeColor="text1"/>
          <w:kern w:val="0"/>
          <w:szCs w:val="21"/>
          <w14:textFill>
            <w14:solidFill>
              <w14:schemeClr w14:val="tx1"/>
            </w14:solidFill>
          </w14:textFill>
        </w:rPr>
      </w:pPr>
    </w:p>
    <w:p>
      <w:pPr>
        <w:rPr>
          <w:rFonts w:ascii="黑体" w:hAnsi="黑体" w:eastAsia="黑体"/>
          <w:b/>
          <w:color w:val="000000" w:themeColor="text1"/>
          <w:kern w:val="0"/>
          <w:szCs w:val="21"/>
          <w14:textFill>
            <w14:solidFill>
              <w14:schemeClr w14:val="tx1"/>
            </w14:solidFill>
          </w14:textFill>
        </w:rPr>
      </w:pPr>
    </w:p>
    <w:p>
      <w:pPr>
        <w:rPr>
          <w:rFonts w:ascii="黑体" w:hAnsi="黑体" w:eastAsia="黑体"/>
          <w:b/>
          <w:color w:val="000000" w:themeColor="text1"/>
          <w:kern w:val="0"/>
          <w:szCs w:val="21"/>
          <w14:textFill>
            <w14:solidFill>
              <w14:schemeClr w14:val="tx1"/>
            </w14:solidFill>
          </w14:textFill>
        </w:rPr>
      </w:pPr>
    </w:p>
    <w:p>
      <w:pPr>
        <w:rPr>
          <w:rFonts w:ascii="黑体" w:hAnsi="黑体" w:eastAsia="黑体"/>
          <w:b/>
          <w:color w:val="000000" w:themeColor="text1"/>
          <w:kern w:val="0"/>
          <w:szCs w:val="21"/>
          <w14:textFill>
            <w14:solidFill>
              <w14:schemeClr w14:val="tx1"/>
            </w14:solidFill>
          </w14:textFill>
        </w:rPr>
      </w:pPr>
    </w:p>
    <w:p>
      <w:pPr>
        <w:rPr>
          <w:rFonts w:ascii="黑体" w:hAnsi="黑体" w:eastAsia="黑体"/>
          <w:b/>
          <w:color w:val="000000" w:themeColor="text1"/>
          <w:kern w:val="0"/>
          <w:szCs w:val="21"/>
          <w14:textFill>
            <w14:solidFill>
              <w14:schemeClr w14:val="tx1"/>
            </w14:solidFill>
          </w14:textFill>
        </w:rPr>
      </w:pPr>
    </w:p>
    <w:p>
      <w:pPr>
        <w:rPr>
          <w:rFonts w:ascii="黑体" w:hAnsi="黑体" w:eastAsia="黑体"/>
          <w:b/>
          <w:color w:val="000000" w:themeColor="text1"/>
          <w:kern w:val="0"/>
          <w:szCs w:val="21"/>
          <w14:textFill>
            <w14:solidFill>
              <w14:schemeClr w14:val="tx1"/>
            </w14:solidFill>
          </w14:textFill>
        </w:rPr>
      </w:pPr>
    </w:p>
    <w:p>
      <w:pPr>
        <w:rPr>
          <w:rFonts w:ascii="黑体" w:hAnsi="黑体" w:eastAsia="黑体"/>
          <w:b/>
          <w:color w:val="000000" w:themeColor="text1"/>
          <w:kern w:val="0"/>
          <w:szCs w:val="21"/>
          <w14:textFill>
            <w14:solidFill>
              <w14:schemeClr w14:val="tx1"/>
            </w14:solidFill>
          </w14:textFill>
        </w:rPr>
      </w:pPr>
    </w:p>
    <w:p>
      <w:pPr>
        <w:rPr>
          <w:rFonts w:ascii="黑体" w:hAnsi="黑体" w:eastAsia="黑体"/>
          <w:b/>
          <w:color w:val="000000" w:themeColor="text1"/>
          <w:kern w:val="0"/>
          <w:szCs w:val="21"/>
          <w14:textFill>
            <w14:solidFill>
              <w14:schemeClr w14:val="tx1"/>
            </w14:solidFill>
          </w14:textFill>
        </w:rPr>
      </w:pPr>
    </w:p>
    <w:p>
      <w:pPr>
        <w:rPr>
          <w:rFonts w:ascii="黑体" w:hAnsi="黑体" w:eastAsia="黑体"/>
          <w:b/>
          <w:color w:val="000000" w:themeColor="text1"/>
          <w:kern w:val="0"/>
          <w:szCs w:val="21"/>
          <w14:textFill>
            <w14:solidFill>
              <w14:schemeClr w14:val="tx1"/>
            </w14:solidFill>
          </w14:textFill>
        </w:rPr>
      </w:pPr>
    </w:p>
    <w:p>
      <w:pPr>
        <w:rPr>
          <w:rFonts w:ascii="黑体" w:hAnsi="黑体" w:eastAsia="黑体"/>
          <w:b/>
          <w:color w:val="000000" w:themeColor="text1"/>
          <w:kern w:val="0"/>
          <w:szCs w:val="21"/>
          <w14:textFill>
            <w14:solidFill>
              <w14:schemeClr w14:val="tx1"/>
            </w14:solidFill>
          </w14:textFill>
        </w:rPr>
      </w:pPr>
    </w:p>
    <w:p>
      <w:pPr>
        <w:rPr>
          <w:rFonts w:ascii="黑体" w:hAnsi="黑体" w:eastAsia="黑体"/>
          <w:b/>
          <w:color w:val="000000" w:themeColor="text1"/>
          <w:kern w:val="0"/>
          <w:szCs w:val="21"/>
          <w14:textFill>
            <w14:solidFill>
              <w14:schemeClr w14:val="tx1"/>
            </w14:solidFill>
          </w14:textFill>
        </w:rPr>
      </w:pPr>
    </w:p>
    <w:p>
      <w:pPr>
        <w:rPr>
          <w:rFonts w:ascii="黑体" w:hAnsi="黑体" w:eastAsia="黑体"/>
          <w:b/>
          <w:color w:val="000000" w:themeColor="text1"/>
          <w:kern w:val="0"/>
          <w:szCs w:val="21"/>
          <w14:textFill>
            <w14:solidFill>
              <w14:schemeClr w14:val="tx1"/>
            </w14:solidFill>
          </w14:textFill>
        </w:rPr>
      </w:pPr>
    </w:p>
    <w:p>
      <w:pPr>
        <w:rPr>
          <w:rFonts w:ascii="黑体" w:hAnsi="黑体" w:eastAsia="黑体"/>
          <w:b/>
          <w:color w:val="000000" w:themeColor="text1"/>
          <w:kern w:val="0"/>
          <w:szCs w:val="21"/>
          <w14:textFill>
            <w14:solidFill>
              <w14:schemeClr w14:val="tx1"/>
            </w14:solidFill>
          </w14:textFill>
        </w:rPr>
      </w:pPr>
    </w:p>
    <w:p>
      <w:pPr>
        <w:rPr>
          <w:rFonts w:ascii="黑体" w:hAnsi="黑体" w:eastAsia="黑体"/>
          <w:b/>
          <w:color w:val="000000" w:themeColor="text1"/>
          <w:kern w:val="0"/>
          <w:szCs w:val="21"/>
          <w14:textFill>
            <w14:solidFill>
              <w14:schemeClr w14:val="tx1"/>
            </w14:solidFill>
          </w14:textFill>
        </w:rPr>
      </w:pPr>
    </w:p>
    <w:p>
      <w:pPr>
        <w:rPr>
          <w:rFonts w:ascii="黑体" w:hAnsi="黑体" w:eastAsia="黑体"/>
          <w:b/>
          <w:color w:val="000000" w:themeColor="text1"/>
          <w:kern w:val="0"/>
          <w:szCs w:val="21"/>
          <w14:textFill>
            <w14:solidFill>
              <w14:schemeClr w14:val="tx1"/>
            </w14:solidFill>
          </w14:textFill>
        </w:rPr>
      </w:pPr>
    </w:p>
    <w:p>
      <w:pPr>
        <w:rPr>
          <w:rFonts w:ascii="黑体" w:hAnsi="黑体" w:eastAsia="黑体"/>
          <w:b/>
          <w:color w:val="000000" w:themeColor="text1"/>
          <w:kern w:val="0"/>
          <w:szCs w:val="21"/>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内容</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第一部分：浑源县污水处理厂概况</w:t>
      </w:r>
    </w:p>
    <w:p>
      <w:pPr>
        <w:numPr>
          <w:ilvl w:val="0"/>
          <w:numId w:val="1"/>
        </w:num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部门职责</w:t>
      </w:r>
    </w:p>
    <w:p>
      <w:pPr>
        <w:numPr>
          <w:ilvl w:val="0"/>
          <w:numId w:val="0"/>
        </w:num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为污水处理提供管理保障。净化处理大同市东郊区。域工业废水和生活污水，中水回用，为绿化、农业灌溉、工业冷却提供再生用水</w:t>
      </w:r>
      <w:bookmarkStart w:id="0" w:name="_GoBack"/>
      <w:bookmarkEnd w:id="0"/>
    </w:p>
    <w:p>
      <w:pPr>
        <w:numPr>
          <w:ilvl w:val="0"/>
          <w:numId w:val="1"/>
        </w:numPr>
        <w:ind w:left="0" w:leftChars="0"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机构设置</w:t>
      </w:r>
    </w:p>
    <w:p>
      <w:pPr>
        <w:numPr>
          <w:ilvl w:val="0"/>
          <w:numId w:val="0"/>
        </w:numPr>
        <w:ind w:left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浑源县污水处理厂</w:t>
      </w:r>
      <w:r>
        <w:rPr>
          <w:rFonts w:hint="eastAsia" w:ascii="仿宋" w:hAnsi="仿宋" w:eastAsia="仿宋" w:cs="仿宋"/>
          <w:color w:val="000000" w:themeColor="text1"/>
          <w:kern w:val="0"/>
          <w:sz w:val="32"/>
          <w:szCs w:val="32"/>
          <w:lang w:eastAsia="zh-CN"/>
          <w14:textFill>
            <w14:solidFill>
              <w14:schemeClr w14:val="tx1"/>
            </w14:solidFill>
          </w14:textFill>
        </w:rPr>
        <w:t>下</w:t>
      </w:r>
      <w:r>
        <w:rPr>
          <w:rFonts w:hint="eastAsia" w:ascii="仿宋" w:hAnsi="仿宋" w:eastAsia="仿宋" w:cs="仿宋"/>
          <w:color w:val="333333"/>
          <w:kern w:val="0"/>
          <w:sz w:val="32"/>
          <w:szCs w:val="32"/>
          <w:lang w:eastAsia="zh-CN"/>
        </w:rPr>
        <w:t>设机构包含：综合办公室、财务室。</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附件：大同市浑源县污水处理厂-2021年度部门决算公开报表.xls</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第三部分：2021年度部门决算情况说明</w:t>
      </w:r>
    </w:p>
    <w:p>
      <w:pPr>
        <w:ind w:left="424"/>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收入为1633.6万元，上年度总收入为969.59万元，增减68.48 %。其中：一般公共预算财政拨款本年度收入为1633.6万元，上年度收入为969.59万元，增减68.48 %；政府性基金预算财政拨款本年度收入为0万元，上年度收入为0万元，增减0 %；事业收入本年度收入为0万元，上年度收入为0万元，增减0 %；其他收入本年度收入为0万元，上年度收入为0万元，增减-100%。</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支出为1633.6万元，上年度总支出为969.59万元，增减68.48%。其中：基本支出本年度支出为69.08万元，上年度支出为100.61万元，增减-31.33 %；项目支出本年度支出为1564.51万元，上年度支出为868.98万元，增减80.04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三公”经费总支出为0万元，上年度支出为0万元，增减0 %；其中：因公出国（境）费本年度支出0万元，上年度支出为0万元，增减0 %；公务用车购置及运行维护费支出为0万元，上年度支出为0万元，增减0 %；公务接待费支出为0万元，上年度支出为0万元，增减0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本单位本年度机关运行经费总支出为0万元，上年度支出为0万元，增减0 %；主要为日常办公费、水电、差旅、印刷、委托业务费等费用。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本单位本年度政府采购总价为1.27万元，其中：货物采购1.27万元，工程采购0万元，服务采购0万元。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（1）房屋情况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截止2021年12月31日， 我单位产权房屋面积为1866.72平方米，价值491.11万元。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（2）车辆情况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xml:space="preserve"> 单位账面车辆为5辆，价值42.66万元。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pStyle w:val="2"/>
        <w:numPr>
          <w:ilvl w:val="0"/>
          <w:numId w:val="2"/>
        </w:num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根据预算绩效管理要求，我部门组织对2021年度县级财政预算安排的专项资金类</w:t>
      </w:r>
      <w:r>
        <w:rPr>
          <w:rFonts w:hint="eastAsia" w:ascii="仿宋" w:hAnsi="仿宋" w:eastAsia="仿宋" w:cs="仿宋"/>
          <w:sz w:val="32"/>
          <w:szCs w:val="32"/>
          <w:lang w:val="en-US" w:eastAsia="zh-CN"/>
        </w:rPr>
        <w:t>3</w:t>
      </w:r>
      <w:r>
        <w:rPr>
          <w:rFonts w:hint="eastAsia" w:ascii="仿宋" w:hAnsi="仿宋" w:eastAsia="仿宋" w:cs="仿宋"/>
          <w:sz w:val="32"/>
          <w:szCs w:val="32"/>
        </w:rPr>
        <w:t>个项目支出全面开展绩效自评，涉及预算资金</w:t>
      </w:r>
      <w:r>
        <w:rPr>
          <w:rFonts w:hint="eastAsia" w:ascii="仿宋" w:hAnsi="仿宋" w:eastAsia="仿宋" w:cs="仿宋"/>
          <w:sz w:val="32"/>
          <w:szCs w:val="32"/>
          <w:lang w:val="en-US" w:eastAsia="zh-CN"/>
        </w:rPr>
        <w:t>681</w:t>
      </w:r>
      <w:r>
        <w:rPr>
          <w:rFonts w:hint="eastAsia" w:ascii="仿宋" w:hAnsi="仿宋" w:eastAsia="仿宋" w:cs="仿宋"/>
          <w:sz w:val="32"/>
          <w:szCs w:val="32"/>
        </w:rPr>
        <w:t>万元，占一般公共预算项目支出总额的</w:t>
      </w:r>
      <w:r>
        <w:rPr>
          <w:rFonts w:hint="eastAsia" w:ascii="仿宋" w:hAnsi="仿宋" w:eastAsia="仿宋" w:cs="仿宋"/>
          <w:sz w:val="32"/>
          <w:szCs w:val="32"/>
          <w:lang w:val="en-US" w:eastAsia="zh-CN"/>
        </w:rPr>
        <w:t>41.70</w:t>
      </w:r>
      <w:r>
        <w:rPr>
          <w:rFonts w:hint="eastAsia" w:ascii="仿宋" w:hAnsi="仿宋" w:eastAsia="仿宋" w:cs="仿宋"/>
          <w:sz w:val="32"/>
          <w:szCs w:val="32"/>
        </w:rPr>
        <w:t>%。</w:t>
      </w:r>
      <w:r>
        <w:rPr>
          <w:rFonts w:hint="eastAsia" w:ascii="仿宋" w:hAnsi="仿宋" w:eastAsia="仿宋" w:cs="仿宋"/>
          <w:sz w:val="32"/>
          <w:szCs w:val="32"/>
          <w:lang w:eastAsia="zh-CN"/>
        </w:rPr>
        <w:t>我部门无政府性基金预算项目支出，没有对</w:t>
      </w:r>
      <w:r>
        <w:rPr>
          <w:rFonts w:hint="eastAsia" w:ascii="仿宋" w:hAnsi="仿宋" w:eastAsia="仿宋" w:cs="仿宋"/>
          <w:sz w:val="32"/>
          <w:szCs w:val="32"/>
          <w:lang w:val="en-US" w:eastAsia="zh-CN"/>
        </w:rPr>
        <w:t>2021年度政府性基金预算项目支出开展绩效自评。</w:t>
      </w:r>
      <w:r>
        <w:rPr>
          <w:rFonts w:hint="eastAsia" w:ascii="仿宋" w:hAnsi="仿宋" w:eastAsia="仿宋" w:cs="仿宋"/>
          <w:sz w:val="32"/>
          <w:szCs w:val="32"/>
        </w:rPr>
        <w:t>组织对2021年污水处理厂运行费用、</w:t>
      </w:r>
      <w:r>
        <w:rPr>
          <w:rFonts w:hint="eastAsia" w:ascii="仿宋" w:hAnsi="仿宋" w:eastAsia="仿宋" w:cs="仿宋"/>
          <w:sz w:val="32"/>
          <w:szCs w:val="32"/>
          <w:lang w:eastAsia="zh-CN"/>
        </w:rPr>
        <w:t>污水处理厂在线监测设备费、2021年城镇建设与发展专项资金预算（县城污水处理以奖代补）</w:t>
      </w:r>
      <w:r>
        <w:rPr>
          <w:rFonts w:hint="eastAsia" w:ascii="仿宋" w:hAnsi="仿宋" w:eastAsia="仿宋" w:cs="仿宋"/>
          <w:sz w:val="32"/>
          <w:szCs w:val="32"/>
        </w:rPr>
        <w:t>开展绩效自评，共涉及预算资金</w:t>
      </w:r>
      <w:r>
        <w:rPr>
          <w:rFonts w:hint="eastAsia" w:ascii="仿宋" w:hAnsi="仿宋" w:eastAsia="仿宋" w:cs="仿宋"/>
          <w:sz w:val="32"/>
          <w:szCs w:val="32"/>
          <w:lang w:val="en-US" w:eastAsia="zh-CN"/>
        </w:rPr>
        <w:t>681</w:t>
      </w:r>
      <w:r>
        <w:rPr>
          <w:rFonts w:hint="eastAsia" w:ascii="仿宋" w:hAnsi="仿宋" w:eastAsia="仿宋" w:cs="仿宋"/>
          <w:sz w:val="32"/>
          <w:szCs w:val="32"/>
        </w:rPr>
        <w:t>万元</w:t>
      </w:r>
      <w:r>
        <w:rPr>
          <w:rFonts w:hint="eastAsia" w:ascii="仿宋" w:hAnsi="仿宋" w:eastAsia="仿宋" w:cs="仿宋"/>
          <w:sz w:val="32"/>
          <w:szCs w:val="32"/>
          <w:lang w:eastAsia="zh-CN"/>
        </w:rPr>
        <w:t>。</w:t>
      </w:r>
    </w:p>
    <w:p>
      <w:pPr>
        <w:pStyle w:val="2"/>
        <w:numPr>
          <w:ilvl w:val="0"/>
          <w:numId w:val="0"/>
        </w:numPr>
        <w:rPr>
          <w:rFonts w:hint="eastAsia" w:ascii="仿宋" w:hAnsi="仿宋" w:eastAsia="仿宋" w:cs="仿宋"/>
          <w:sz w:val="32"/>
          <w:szCs w:val="32"/>
        </w:rPr>
      </w:pPr>
      <w:r>
        <w:rPr>
          <w:rFonts w:hint="eastAsia" w:ascii="仿宋" w:hAnsi="仿宋" w:eastAsia="仿宋" w:cs="仿宋"/>
          <w:sz w:val="32"/>
          <w:szCs w:val="32"/>
        </w:rPr>
        <w:t>（2）部门决算中项目</w:t>
      </w:r>
      <w:r>
        <w:rPr>
          <w:rFonts w:hint="eastAsia" w:ascii="仿宋" w:hAnsi="仿宋" w:eastAsia="仿宋" w:cs="仿宋"/>
          <w:sz w:val="32"/>
          <w:szCs w:val="32"/>
          <w:lang w:eastAsia="zh-CN"/>
        </w:rPr>
        <w:t>绩</w:t>
      </w:r>
      <w:r>
        <w:rPr>
          <w:rFonts w:hint="eastAsia" w:ascii="仿宋" w:hAnsi="仿宋" w:eastAsia="仿宋" w:cs="仿宋"/>
          <w:sz w:val="32"/>
          <w:szCs w:val="32"/>
        </w:rPr>
        <w:t>效自评结果。</w:t>
      </w:r>
    </w:p>
    <w:p>
      <w:pPr>
        <w:pStyle w:val="2"/>
        <w:ind w:firstLine="640" w:firstLineChars="200"/>
        <w:rPr>
          <w:rFonts w:hint="eastAsia" w:ascii="仿宋" w:hAnsi="仿宋" w:eastAsia="仿宋" w:cs="仿宋"/>
          <w:sz w:val="32"/>
          <w:szCs w:val="32"/>
        </w:rPr>
      </w:pPr>
      <w:r>
        <w:rPr>
          <w:rFonts w:hint="eastAsia" w:ascii="仿宋" w:hAnsi="仿宋" w:eastAsia="仿宋" w:cs="仿宋"/>
          <w:sz w:val="32"/>
          <w:szCs w:val="32"/>
        </w:rPr>
        <w:t>2021年城镇建设与发展专项资金预算（县城污水处理以奖代补）绩效自评综述：根据年初设定的绩效目标，项目自评得分为</w:t>
      </w:r>
      <w:r>
        <w:rPr>
          <w:rFonts w:hint="eastAsia" w:ascii="仿宋" w:hAnsi="仿宋" w:eastAsia="仿宋" w:cs="仿宋"/>
          <w:sz w:val="32"/>
          <w:szCs w:val="32"/>
          <w:lang w:val="en-US" w:eastAsia="zh-CN"/>
        </w:rPr>
        <w:t>91.79</w:t>
      </w:r>
      <w:r>
        <w:rPr>
          <w:rFonts w:hint="eastAsia" w:ascii="仿宋" w:hAnsi="仿宋" w:eastAsia="仿宋" w:cs="仿宋"/>
          <w:sz w:val="32"/>
          <w:szCs w:val="32"/>
        </w:rPr>
        <w:t>分。全年预算数为</w:t>
      </w:r>
      <w:r>
        <w:rPr>
          <w:rFonts w:hint="eastAsia" w:ascii="仿宋" w:hAnsi="仿宋" w:eastAsia="仿宋" w:cs="仿宋"/>
          <w:sz w:val="32"/>
          <w:szCs w:val="32"/>
          <w:lang w:val="en-US" w:eastAsia="zh-CN"/>
        </w:rPr>
        <w:t>53.2</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53.2</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%。项目绩效目标完成情况：保障县城污水厂处理正常运行，稳固提高污水处理量，提高运行管理水平，改善城市人居环境。</w:t>
      </w:r>
    </w:p>
    <w:p>
      <w:pPr>
        <w:pStyle w:val="2"/>
        <w:ind w:firstLine="640" w:firstLineChars="200"/>
        <w:rPr>
          <w:rFonts w:hint="eastAsia" w:ascii="仿宋" w:hAnsi="仿宋" w:eastAsia="仿宋" w:cs="仿宋"/>
          <w:sz w:val="32"/>
          <w:szCs w:val="32"/>
        </w:rPr>
      </w:pPr>
      <w:r>
        <w:rPr>
          <w:rFonts w:hint="eastAsia" w:ascii="仿宋" w:hAnsi="仿宋" w:eastAsia="仿宋" w:cs="仿宋"/>
          <w:sz w:val="32"/>
          <w:szCs w:val="32"/>
        </w:rPr>
        <w:t>2021年污水处理厂在线监测设备费绩效自评综述：根据年初设定的绩效目标，项目自评得分为</w:t>
      </w:r>
      <w:r>
        <w:rPr>
          <w:rFonts w:hint="eastAsia" w:ascii="仿宋" w:hAnsi="仿宋" w:eastAsia="仿宋" w:cs="仿宋"/>
          <w:sz w:val="32"/>
          <w:szCs w:val="32"/>
          <w:lang w:val="en-US" w:eastAsia="zh-CN"/>
        </w:rPr>
        <w:t>91.56</w:t>
      </w:r>
      <w:r>
        <w:rPr>
          <w:rFonts w:hint="eastAsia" w:ascii="仿宋" w:hAnsi="仿宋" w:eastAsia="仿宋" w:cs="仿宋"/>
          <w:sz w:val="32"/>
          <w:szCs w:val="32"/>
        </w:rPr>
        <w:t>分。全年预算数为</w:t>
      </w:r>
      <w:r>
        <w:rPr>
          <w:rFonts w:hint="eastAsia" w:ascii="仿宋" w:hAnsi="仿宋" w:eastAsia="仿宋" w:cs="仿宋"/>
          <w:sz w:val="32"/>
          <w:szCs w:val="32"/>
          <w:lang w:val="en-US" w:eastAsia="zh-CN"/>
        </w:rPr>
        <w:t>138.5</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138.5</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%。项目绩效目标完成情况：购置并安装设备，保障单位在线监测工作正常开展，提高监测工作效率</w:t>
      </w:r>
    </w:p>
    <w:p>
      <w:pPr>
        <w:pStyle w:val="2"/>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浑源县污水处理厂运行费用项目绩效自评综述：根据年初设定的绩效目标，项目自评得分为</w:t>
      </w:r>
      <w:r>
        <w:rPr>
          <w:rFonts w:hint="eastAsia" w:ascii="仿宋" w:hAnsi="仿宋" w:eastAsia="仿宋" w:cs="仿宋"/>
          <w:sz w:val="32"/>
          <w:szCs w:val="32"/>
          <w:lang w:val="en-US" w:eastAsia="zh-CN"/>
        </w:rPr>
        <w:t>91.9</w:t>
      </w:r>
      <w:r>
        <w:rPr>
          <w:rFonts w:hint="eastAsia" w:ascii="仿宋" w:hAnsi="仿宋" w:eastAsia="仿宋" w:cs="仿宋"/>
          <w:sz w:val="32"/>
          <w:szCs w:val="32"/>
        </w:rPr>
        <w:t>分。全年预算数为</w:t>
      </w:r>
      <w:r>
        <w:rPr>
          <w:rFonts w:hint="eastAsia" w:ascii="仿宋" w:hAnsi="仿宋" w:eastAsia="仿宋" w:cs="仿宋"/>
          <w:sz w:val="32"/>
          <w:szCs w:val="32"/>
          <w:lang w:val="en-US" w:eastAsia="zh-CN"/>
        </w:rPr>
        <w:t>490</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490</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%。项目绩效目标完成情况：完成全年污水处理厂工作</w:t>
      </w:r>
      <w:r>
        <w:rPr>
          <w:rFonts w:hint="eastAsia" w:ascii="仿宋" w:hAnsi="仿宋" w:eastAsia="仿宋" w:cs="仿宋"/>
          <w:sz w:val="32"/>
          <w:szCs w:val="32"/>
          <w:lang w:eastAsia="zh-CN"/>
        </w:rPr>
        <w:t>。</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第四部分 部门名词解释</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一、财政拨款：财政拨款包括一般公共预算财政拨款、政府性基金预算财政拨款和国有资本经营预算财政拨款。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一级预算单位收到的应拨给下级单位使用的款项，年终决算时尚未拨出的，在编报时列为本单位财政拨款。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2、上级补助收入：填列事业单位从主管部门和上级单位取得的非财政补助收入。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3、事业收入：填列事业单位开展专业业务活动及其辅助活动取得的收入；事业单位收到的财政专户实际核拨的教育收费等资金在此反映。</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4、经营收入：填列事业单位在专业业务活动及其辅助活动之外开展非独立核算经营活动取得的收入。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5、附属单位上缴收入：填列事业单位附独立核算单位按照有关规定上缴的收入。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事业单位开展专业业务活动及辅助活动并以合同形式从本级财政部门以外的同级单位取得的经费，不在本项反映，应填列在“事业收入”栏。</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1、基本支出：填列单位为保障机构正常运转、完成日常工作任务而发生的各项支出。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2、项目支出：填列单位为完成特定的行政工作任务或事业发展目标，在基本支出之外发生的各项支出。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3、上缴上级支出：填列事业单位按照财政部门和主管部门的规定上缴上级单位的支出。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4、经营支出：填列事业单位在专业活动及辅助活动之外开展非独立核算经营活动发生的支出。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5、附属单位补助支出：填列事业单位用财政补助收入之外的收入对附属单位补助发生的支出。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6、主管部门在汇总决算时，应使用调整表对“上缴上级支出”“对附属单位补助支出”与收入表中“附属单位上缴收入”“上级补助收入”进行冲抵。</w:t>
      </w:r>
    </w:p>
    <w:p>
      <w:pPr>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四、“三公”经费：一般公共预算安排的因公出国（境）费、公务用车购置及运行费和公务接待费。</w:t>
      </w:r>
    </w:p>
    <w:p>
      <w:pPr>
        <w:jc w:val="right"/>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浑源县污水处理厂</w:t>
      </w:r>
    </w:p>
    <w:p>
      <w:pPr>
        <w:ind w:firstLine="5440" w:firstLineChars="1700"/>
        <w:jc w:val="right"/>
        <w:rPr>
          <w:rFonts w:hint="eastAsia" w:ascii="仿宋" w:hAnsi="仿宋" w:eastAsia="仿宋" w:cs="仿宋"/>
          <w:color w:val="000000" w:themeColor="text1"/>
          <w:sz w:val="32"/>
          <w:szCs w:val="32"/>
          <w14:textFill>
            <w14:solidFill>
              <w14:schemeClr w14:val="tx1"/>
            </w14:solidFill>
          </w14:textFill>
        </w:rPr>
        <w:sectPr>
          <w:pgSz w:w="11906" w:h="16838"/>
          <w:pgMar w:top="1440" w:right="1800" w:bottom="1440" w:left="1800" w:header="851" w:footer="992" w:gutter="0"/>
          <w:pgNumType w:start="1"/>
          <w:cols w:space="425" w:num="1"/>
          <w:docGrid w:type="lines" w:linePitch="312" w:charSpace="0"/>
        </w:sectPr>
      </w:pPr>
      <w:r>
        <w:rPr>
          <w:rFonts w:hint="eastAsia" w:ascii="仿宋" w:hAnsi="仿宋" w:eastAsia="仿宋" w:cs="仿宋"/>
          <w:color w:val="000000" w:themeColor="text1"/>
          <w:sz w:val="32"/>
          <w:szCs w:val="32"/>
          <w14:textFill>
            <w14:solidFill>
              <w14:schemeClr w14:val="tx1"/>
            </w14:solidFill>
          </w14:textFill>
        </w:rPr>
        <w:t xml:space="preserve"> 2022年7月15日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F1B8864"/>
    <w:multiLevelType w:val="singleLevel"/>
    <w:tmpl w:val="4F1B8864"/>
    <w:lvl w:ilvl="0" w:tentative="0">
      <w:start w:val="1"/>
      <w:numFmt w:val="decimal"/>
      <w:suff w:val="nothing"/>
      <w:lvlText w:val="（%1）"/>
      <w:lvlJc w:val="left"/>
    </w:lvl>
  </w:abstractNum>
  <w:abstractNum w:abstractNumId="1">
    <w:nsid w:val="6DA5762C"/>
    <w:multiLevelType w:val="singleLevel"/>
    <w:tmpl w:val="6DA5762C"/>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I0NDUzYjRiMmIzMDc4MzM5Y2I5Nzk2ZDE5MTcyNTUifQ=="/>
  </w:docVars>
  <w:rsids>
    <w:rsidRoot w:val="00000000"/>
    <w:rsid w:val="04F177D9"/>
    <w:rsid w:val="0CDE7D84"/>
    <w:rsid w:val="34C55DD8"/>
    <w:rsid w:val="379426EC"/>
    <w:rsid w:val="588E2F6D"/>
    <w:rsid w:val="5E8C14B0"/>
    <w:rsid w:val="741D24AE"/>
    <w:rsid w:val="76865432"/>
    <w:rsid w:val="77F84DAF"/>
    <w:rsid w:val="79C54404"/>
    <w:rsid w:val="7C880F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2902</Words>
  <Characters>3136</Characters>
  <Lines>0</Lines>
  <Paragraphs>0</Paragraphs>
  <TotalTime>11</TotalTime>
  <ScaleCrop>false</ScaleCrop>
  <LinksUpToDate>false</LinksUpToDate>
  <CharactersWithSpaces>3271</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2022-07-25T09:43:00Z</dcterms:created>
  <dc:creator>Administrator</dc:creator>
  <cp:lastModifiedBy>WPS_1530491641</cp:lastModifiedBy>
  <dcterms:modified xsi:type="dcterms:W3CDTF">2022-07-26T08:55:57Z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AC20ADBAC0454C5C90EB66038DAE72C6</vt:lpwstr>
  </property>
</Properties>
</file>