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浑源县综合检验检测中心</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第一部分：浑源县综合检验检测中心概况</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firstLine="640" w:firstLineChars="200"/>
        <w:jc w:val="both"/>
        <w:textAlignment w:val="bottom"/>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jc w:val="both"/>
        <w:textAlignment w:val="bottom"/>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贯彻执行党中央、省委省政府、市委市政府、县委县政府关于质量技术基础设施建设的方针政策和决策部署，建立质量基础公共技术服务平台，服务社会，服务企业，为推进质量强县提供技术支持，服务支持，打造出具有一流服务实力、竞争力的公共技术平台。</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bottom"/>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（二）承担农产品、畜产品、水产品、食品、粮食、药品、化妆品、医疗器械、特种设备、工业产品等相关产（商）品的政府指令性的监督检验、风险检验等任务，为县政府加强质量安全监管提供技术支撑。</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bottom"/>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（三）接受县政府及其他部门、企业以及社会的委托，提供农产品、畜产品、水产品、食品、粮食、药品、化妆品、医疗器械、特种设备、工业产品等相关产（商）品的认证、认可、科研、咨询、培训等服务。 </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bottom"/>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（四）开展相关标准工作，研究技术标准、产品标准、技术法规、计量检定规程规范的制（修）订及培训和宣传贯彻工作。</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firstLine="640" w:firstLineChars="200"/>
        <w:jc w:val="both"/>
        <w:textAlignment w:val="bottom"/>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承担建立、保存、管理全县社会公用计量标准并进行量值传递，对国家强制检定目录的计量器具实施强制检定，对依法管理的其他计量器具进行检定、校准；负责对商品量、商品包装的计量检测项目及能源效率标识计量项目等进行检测。</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jc w:val="both"/>
        <w:textAlignment w:val="bottom"/>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承担在核准的检验项目范围内，实施特种设备制造、安装、修理、改造过程的监督检验和在用特种设备的定期报检工作；参与相关部门委托的特种设备鉴定评审、技术评价和事故调查等相关技术工作；负责特种设备安全、能效测试、科学研究、公共服务，人员培训、技术咨询等方面的相关工作。</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bottom"/>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（七）承担对工业产品质量的监督抽查检验和合格率抽查检验工作；承担抽样采样工作。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0" w:firstLineChars="200"/>
        <w:jc w:val="both"/>
        <w:textAlignment w:val="bottom"/>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（八）负责组织实施全县检验检测工作相关战略规划与研究、科技攻关、技术引进、成果转化、推广应用、科学普及、科技奖励等工作，推进实验室建设工作。 </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bottom"/>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sz w:val="32"/>
          <w:szCs w:val="32"/>
          <w:lang w:val="en-US" w:eastAsia="zh-CN"/>
        </w:rPr>
        <w:t>（九）完成县委县政府交办的其他任务。</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bottom"/>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bottom"/>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综合办公室。负责中心日常运转和后勤保障工作，承担文秘、会务、保密、信访、安全保卫、宣传与应急等工作、督察督办中心各股所承担的工作；负责印鉴的管理；负责固定资产实物管理工作及固定资产软件管理；负责</w:t>
      </w:r>
      <w:r>
        <w:rPr>
          <w:rFonts w:hint="eastAsia" w:ascii="仿宋" w:hAnsi="仿宋" w:eastAsia="仿宋" w:cs="仿宋"/>
          <w:sz w:val="32"/>
          <w:szCs w:val="32"/>
          <w:highlight w:val="none"/>
          <w:lang w:val="en-US" w:eastAsia="zh-CN"/>
        </w:rPr>
        <w:t>法律、法规、</w:t>
      </w:r>
      <w:r>
        <w:rPr>
          <w:rFonts w:hint="eastAsia" w:ascii="仿宋" w:hAnsi="仿宋" w:eastAsia="仿宋" w:cs="仿宋"/>
          <w:sz w:val="32"/>
          <w:szCs w:val="32"/>
          <w:lang w:val="en-US" w:eastAsia="zh-CN"/>
        </w:rPr>
        <w:t>标准信息、科技资料的管理工作；负责党建、党务、群团和文明创建工作。负责机构编制、人事劳资、社会保险、退休人员及人事档案管理工作；负责统筹管理干部教育培训工作。</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bottom"/>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（二）财务股。负责财务管理及内部审计等工作；负责依法组织收入；负责建立健全财务制度，配合相关部门实施绩效评价工作；参与中心重大投资项目的论证，可行性研究等工作。</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bottom"/>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业务技术设备管理股。负责检验、检测、检定等业务受理、费用核算、合同拟定和样品接收、标识、管理和流转；负责检验、检测、检定证书、报告基本信息的录入、校对、打印、发放、登记与归档；负责组织实施全县检验检测工作相关战略规划与研究、科技攻关、技术引进、成果转化、推广应用、科学普及、科技奖励等工作，推进实验室建设工作；负责检定、检验印鉴的管理；开展信息化建设、大数据平台建设、智慧化检测、技术服务与咨询等工作。负责中心各类资质取证和能力建设工作；负责检验仪器设备的购置论证、采购计划和组织实施工作；负责检验设备、计量器具和标准物质的量值溯源工作；负责检验仪器使用记录的发放、收集、归档工作；负责办理检验仪器设备的启用、停用、报废手续和组织报废仪器的鉴定工作；承担中心各专业技术委员会安排的工作。</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bottom"/>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食品药品微生物检验股。负责与县相关部门对接有关检验工作；承担食品、保健食品、粮食有关检验工作；承担化学药、抗生素药、生化药、医院制剂、药用辅料、中药（中药材、中药饮片、中成药）、化妆品的检验工作；负责中药材和中药饮片标本的收集、鉴定、整理、养护和中药标本室的管理工作；负责食品、药品、畜禽产品、农业投入品、化妆品、保健食品、粮食及食品相关产品（消毒餐饮具）、一次性使用医疗卫生用品等样品的微生物检测工作；开展该领域相关标准、技术法规的制（修）订工作和科技创新、技术研究、成果转化、推广应用等工作，以及相关技术咨询、技术培训、技术服务工作。</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bottom"/>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五）农产品检验股。承担农产品、农产品投入品、农业产地环境等相关检验检测工作；承担黄芪、药茶原料等特色农产品质量安全检测与营养评价工作；承担畜牧产品、水产品及饲料质量安全检验检测工作；开展该领域相关标准、技术法规的制（修）订工作和科技创新、技术研究、成果转化、推广应用等工作，以及相关技术咨询、技术培训、技术服务工作。 </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bottom"/>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质量技术监督检验测试所。研究、建立、维护县级社会公用标准；承担全县范围内计量标准及计量器具的量值传递；负责全县范围内计量标准器具的强制检定；开展计量校准、公正计量、能效检测；开展计量器具的调试维修工作；承担对依法受理的锅炉、压力容器和压力管道实施监督检验和定期报检；负责特种设备节能环保工作；承担对依法受理的电梯、起重机械、场（厂）内机动车辆实施监督检验和定期报检工作；承担对建材、机械、轻工、纺织、机电等产品的检验检测工作；承担对煤、煤制品、石油制品、化工等产品的检验检测工作；承担对衡器、加油机、加气机、出租车计价器等计量器具的检定工作；开展该领域相关标准、技术法规的制（修）订工作和科技创新、技术研究、成果转化、推广应用等工作，以及相关技术咨询、技术培训、技术服务工作。</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附件：大同市浑源县综合检验检测中心-2021年度部门决算公开报表.xls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51.74万元，上年度总收入为47.88万元，增减8.07 %。其中：一般公共预算财政拨款本年度收入为51.74万元，上年度收入为47.88万元，增减8.07 %；政府性基金预算财政拨款本年度收入为0万元，上年度收入为0万元，增减0 %；事业收入本年度收入为0万元，上年度收入为0万元，增减0 %；其他收入本年度收入为0万元，上年度收入为0万元，增减-6.98%。</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本单位本年度总支出为51.74万元，上年度总支出为47.88万元，增减8.08%。其中：基本支出本年度支出为51.74万元，上年度支出为47.88万元，增减8.08 %；项目支出本年度支出为0万元，上年度支出为0万元，增减0 %。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本单位本年度政府采购总价为0.7万元，其中：货物采购0.7万元，工程采购0万元，服务采购0万元。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我单位产权房屋面积为0平方米，价值0万元。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（1）预算绩效管理工作开展情况 </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 xml:space="preserve">根据预算绩效管理要求，本单位无 </w:t>
      </w:r>
      <w:r>
        <w:rPr>
          <w:rFonts w:hint="eastAsia" w:ascii="仿宋" w:hAnsi="仿宋" w:eastAsia="仿宋" w:cs="仿宋"/>
          <w:color w:val="000000"/>
          <w:kern w:val="0"/>
          <w:sz w:val="32"/>
          <w:szCs w:val="32"/>
          <w:lang w:val="en-US" w:eastAsia="zh-CN" w:bidi="ar"/>
        </w:rPr>
        <w:t>2021年度</w:t>
      </w:r>
      <w:r>
        <w:rPr>
          <w:rFonts w:hint="eastAsia" w:ascii="仿宋" w:hAnsi="仿宋" w:eastAsia="仿宋" w:cs="仿宋"/>
          <w:color w:val="000000"/>
          <w:kern w:val="0"/>
          <w:sz w:val="32"/>
          <w:szCs w:val="32"/>
          <w:lang w:val="en-US" w:eastAsia="zh-CN" w:bidi="ar"/>
        </w:rPr>
        <w:t>县级财政预算</w:t>
      </w:r>
      <w:r>
        <w:rPr>
          <w:rFonts w:hint="eastAsia" w:ascii="仿宋" w:hAnsi="仿宋" w:eastAsia="仿宋" w:cs="仿宋"/>
          <w:color w:val="000000"/>
          <w:kern w:val="0"/>
          <w:sz w:val="32"/>
          <w:szCs w:val="32"/>
          <w:lang w:val="en-US" w:eastAsia="zh-CN" w:bidi="ar"/>
        </w:rPr>
        <w:t>安排的专项资金类、50 万元以上的经费补助类项目支出、政府性基金预算项目支出，因此，未开展 2021年度项目支出绩效自评、部门评价及整体绩效评价。</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 xml:space="preserve"> （2）部门决算中项目绩效自评结果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kern w:val="0"/>
          <w:sz w:val="32"/>
          <w:szCs w:val="32"/>
          <w:lang w:val="en-US" w:eastAsia="zh-CN" w:bidi="ar"/>
        </w:rPr>
        <w:t>根据预算绩效管理要求，本单位无 2021年度县级财政预 算安排的专项资金类、50万元以上的经费补助类项目支出、 政府性基金预算项目支出，因此，无绩效项目自评综述的情况。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rPr>
          <w:rFonts w:hint="eastAsia" w:ascii="仿宋" w:hAnsi="仿宋" w:eastAsia="仿宋" w:cs="仿宋"/>
          <w:color w:val="000000" w:themeColor="text1"/>
          <w:sz w:val="32"/>
          <w:szCs w:val="32"/>
          <w14:textFill>
            <w14:solidFill>
              <w14:schemeClr w14:val="tx1"/>
            </w14:solidFill>
          </w14:textFill>
        </w:rPr>
      </w:pPr>
      <w:bookmarkStart w:id="0" w:name="_GoBack"/>
      <w:bookmarkEnd w:id="0"/>
    </w:p>
    <w:p>
      <w:pPr>
        <w:rPr>
          <w:rFonts w:hint="eastAsia" w:ascii="仿宋" w:hAnsi="仿宋" w:eastAsia="仿宋" w:cs="仿宋"/>
          <w:color w:val="000000" w:themeColor="text1"/>
          <w:sz w:val="32"/>
          <w:szCs w:val="32"/>
          <w14:textFill>
            <w14:solidFill>
              <w14:schemeClr w14:val="tx1"/>
            </w14:solidFill>
          </w14:textFill>
        </w:rPr>
      </w:pPr>
    </w:p>
    <w:p>
      <w:pPr>
        <w:ind w:left="4480" w:hanging="4480" w:hangingChars="14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浑源县综合检验检测中心</w:t>
      </w:r>
    </w:p>
    <w:p>
      <w:pPr>
        <w:ind w:left="5107" w:leftChars="2432" w:firstLine="3520" w:firstLineChars="11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 xml:space="preserve"> 2022年7月15日</w:t>
      </w:r>
    </w:p>
    <w:p>
      <w:pPr>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穝灿砰">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7D157D"/>
    <w:multiLevelType w:val="singleLevel"/>
    <w:tmpl w:val="217D157D"/>
    <w:lvl w:ilvl="0" w:tentative="0">
      <w:start w:val="5"/>
      <w:numFmt w:val="chineseCounting"/>
      <w:suff w:val="nothing"/>
      <w:lvlText w:val="（%1）"/>
      <w:lvlJc w:val="left"/>
      <w:rPr>
        <w:rFonts w:hint="eastAsia"/>
      </w:rPr>
    </w:lvl>
  </w:abstractNum>
  <w:abstractNum w:abstractNumId="1">
    <w:nsid w:val="4FF3223C"/>
    <w:multiLevelType w:val="singleLevel"/>
    <w:tmpl w:val="4FF3223C"/>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zM2I3NzNkOTcwYTRkYjhjNTg2MzY5MmU5ZThhZGMifQ=="/>
  </w:docVars>
  <w:rsids>
    <w:rsidRoot w:val="5C7E1B03"/>
    <w:rsid w:val="574405F0"/>
    <w:rsid w:val="5C7E1B03"/>
    <w:rsid w:val="67C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3"/>
    <w:qFormat/>
    <w:uiPriority w:val="0"/>
    <w:pPr>
      <w:spacing w:line="0" w:lineRule="atLeast"/>
      <w:ind w:firstLine="0" w:firstLineChars="0"/>
      <w:jc w:val="center"/>
      <w:outlineLvl w:val="1"/>
    </w:pPr>
    <w:rPr>
      <w:rFonts w:ascii="Times New Roman" w:hAnsi="Times New Roman"/>
      <w:sz w:val="28"/>
    </w:rPr>
  </w:style>
  <w:style w:type="paragraph" w:styleId="3">
    <w:name w:val="heading 3"/>
    <w:basedOn w:val="1"/>
    <w:next w:val="1"/>
    <w:qFormat/>
    <w:uiPriority w:val="0"/>
    <w:pPr>
      <w:spacing w:before="104" w:beforeLines="0" w:after="104" w:afterLines="0"/>
      <w:ind w:firstLine="0" w:firstLineChars="0"/>
      <w:outlineLvl w:val="2"/>
    </w:pPr>
    <w:rPr>
      <w:rFonts w:eastAsia="穝灿砰"/>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4411</Words>
  <Characters>4540</Characters>
  <Lines>0</Lines>
  <Paragraphs>0</Paragraphs>
  <TotalTime>9</TotalTime>
  <ScaleCrop>false</ScaleCrop>
  <LinksUpToDate>false</LinksUpToDate>
  <CharactersWithSpaces>4681</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2022-07-14T01:00:00Z</dcterms:created>
  <dc:creator>Administrator</dc:creator>
  <cp:lastModifiedBy>Administrator</cp:lastModifiedBy>
  <dcterms:modified xsi:type="dcterms:W3CDTF">2022-07-14T01:47:49Z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2CD0E6AFAF234FD38E911678A4E14554</vt:lpwstr>
  </property>
</Properties>
</file>