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山西省恒山风景名胜区管理委员会</w:t>
      </w:r>
      <w:r>
        <w:rPr>
          <w:rFonts w:hint="eastAsia" w:ascii="黑体" w:hAnsi="黑体" w:eastAsia="黑体"/>
          <w:color w:val="000000" w:themeColor="text1"/>
          <w:sz w:val="36"/>
          <w:szCs w:val="36"/>
          <w:lang w:val="en-US" w:eastAsia="zh-CN"/>
          <w14:textFill>
            <w14:solidFill>
              <w14:schemeClr w14:val="tx1"/>
            </w14:solidFill>
          </w14:textFill>
        </w:rPr>
        <w:t xml:space="preserve">              </w:t>
      </w: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numPr>
          <w:ilvl w:val="0"/>
          <w:numId w:val="1"/>
        </w:numPr>
        <w:rPr>
          <w:rFonts w:hint="eastAsia" w:ascii="仿宋" w:hAnsi="仿宋" w:eastAsia="仿宋" w:cs="仿宋"/>
          <w:sz w:val="32"/>
          <w:szCs w:val="32"/>
          <w:lang w:val="en-US" w:eastAsia="zh-CN"/>
        </w:rPr>
      </w:pPr>
      <w:r>
        <w:rPr>
          <w:rFonts w:hint="eastAsia" w:ascii="仿宋" w:hAnsi="仿宋" w:eastAsia="仿宋" w:cs="仿宋"/>
          <w:color w:val="000000" w:themeColor="text1"/>
          <w:kern w:val="0"/>
          <w:sz w:val="32"/>
          <w:szCs w:val="32"/>
          <w14:textFill>
            <w14:solidFill>
              <w14:schemeClr w14:val="tx1"/>
            </w14:solidFill>
          </w14:textFill>
        </w:rPr>
        <w:t>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第一部分：山西省恒山风景名胜区管理委员会概况</w:t>
      </w:r>
    </w:p>
    <w:p>
      <w:pPr>
        <w:numPr>
          <w:ilvl w:val="0"/>
          <w:numId w:val="2"/>
        </w:numPr>
        <w:ind w:firstLine="640" w:firstLineChars="200"/>
        <w:rPr>
          <w:rFonts w:hint="eastAsia"/>
        </w:rPr>
      </w:pPr>
      <w:r>
        <w:rPr>
          <w:rFonts w:hint="eastAsia" w:ascii="仿宋" w:hAnsi="仿宋" w:eastAsia="仿宋" w:cs="仿宋"/>
          <w:color w:val="000000" w:themeColor="text1"/>
          <w:kern w:val="0"/>
          <w:sz w:val="32"/>
          <w:szCs w:val="32"/>
          <w14:textFill>
            <w14:solidFill>
              <w14:schemeClr w14:val="tx1"/>
            </w14:solidFill>
          </w14:textFill>
        </w:rPr>
        <w:t>部门职责</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themeColor="text1"/>
          <w:kern w:val="0"/>
          <w:sz w:val="32"/>
          <w:szCs w:val="32"/>
          <w:lang w:val="en-US" w:eastAsia="zh-CN"/>
          <w14:textFill>
            <w14:solidFill>
              <w14:schemeClr w14:val="tx1"/>
            </w14:solidFill>
          </w14:textFill>
        </w:rPr>
        <w:t xml:space="preserve">    </w:t>
      </w:r>
      <w:r>
        <w:rPr>
          <w:rFonts w:hint="eastAsia" w:ascii="仿宋" w:hAnsi="仿宋" w:eastAsia="仿宋" w:cs="仿宋"/>
          <w:color w:val="000000"/>
          <w:sz w:val="32"/>
          <w:szCs w:val="32"/>
        </w:rPr>
        <w:t>（一）负责国家《风景名胜区条例》</w:t>
      </w:r>
      <w:r>
        <w:rPr>
          <w:rFonts w:hint="eastAsia" w:ascii="仿宋" w:hAnsi="仿宋" w:eastAsia="仿宋" w:cs="仿宋"/>
          <w:sz w:val="32"/>
          <w:szCs w:val="32"/>
        </w:rPr>
        <w:t>《山西省风景名胜区条例》</w:t>
      </w:r>
      <w:r>
        <w:rPr>
          <w:rFonts w:hint="eastAsia" w:ascii="仿宋" w:hAnsi="仿宋" w:eastAsia="仿宋" w:cs="仿宋"/>
          <w:color w:val="000000"/>
          <w:kern w:val="0"/>
          <w:sz w:val="32"/>
          <w:szCs w:val="32"/>
        </w:rPr>
        <w:t>《恒山风景名胜区保护条例》</w:t>
      </w:r>
      <w:r>
        <w:rPr>
          <w:rFonts w:hint="eastAsia" w:ascii="仿宋" w:hAnsi="仿宋" w:eastAsia="仿宋" w:cs="仿宋"/>
          <w:color w:val="000000"/>
          <w:sz w:val="32"/>
          <w:szCs w:val="32"/>
        </w:rPr>
        <w:t>和相关法律、法规在恒山风景名胜区范围内的贯彻执行，负责恒山风景名胜区的管理、保护和开发利用工作。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b/>
          <w:sz w:val="32"/>
          <w:szCs w:val="32"/>
        </w:rPr>
      </w:pPr>
      <w:r>
        <w:rPr>
          <w:rFonts w:hint="eastAsia" w:ascii="仿宋" w:hAnsi="仿宋" w:eastAsia="仿宋" w:cs="仿宋"/>
          <w:sz w:val="32"/>
          <w:szCs w:val="32"/>
        </w:rPr>
        <w:t>（二）发展恒山的文化旅游事业，打造国际知名的文化旅游品牌。</w:t>
      </w:r>
    </w:p>
    <w:p>
      <w:pPr>
        <w:keepNext w:val="0"/>
        <w:keepLines w:val="0"/>
        <w:pageBreakBefore w:val="0"/>
        <w:widowControl w:val="0"/>
        <w:kinsoku/>
        <w:wordWrap/>
        <w:overflowPunct/>
        <w:topLinePunct w:val="0"/>
        <w:autoSpaceDE/>
        <w:autoSpaceDN/>
        <w:bidi w:val="0"/>
        <w:adjustRightInd/>
        <w:snapToGrid/>
        <w:spacing w:line="240" w:lineRule="auto"/>
        <w:ind w:firstLine="645"/>
        <w:textAlignment w:val="auto"/>
        <w:rPr>
          <w:rFonts w:hint="eastAsia" w:ascii="仿宋" w:hAnsi="仿宋" w:eastAsia="仿宋" w:cs="仿宋"/>
          <w:sz w:val="32"/>
          <w:szCs w:val="32"/>
        </w:rPr>
      </w:pPr>
      <w:r>
        <w:rPr>
          <w:rFonts w:hint="eastAsia" w:ascii="仿宋" w:hAnsi="仿宋" w:eastAsia="仿宋" w:cs="仿宋"/>
          <w:sz w:val="32"/>
          <w:szCs w:val="32"/>
        </w:rPr>
        <w:t>（三）负责调查和组织鉴定景区内的重要景观。</w:t>
      </w:r>
    </w:p>
    <w:p>
      <w:pPr>
        <w:keepNext w:val="0"/>
        <w:keepLines w:val="0"/>
        <w:pageBreakBefore w:val="0"/>
        <w:widowControl w:val="0"/>
        <w:kinsoku/>
        <w:wordWrap/>
        <w:overflowPunct/>
        <w:topLinePunct w:val="0"/>
        <w:autoSpaceDE/>
        <w:autoSpaceDN/>
        <w:bidi w:val="0"/>
        <w:adjustRightInd/>
        <w:snapToGrid/>
        <w:spacing w:line="240" w:lineRule="auto"/>
        <w:ind w:firstLine="645"/>
        <w:textAlignment w:val="auto"/>
        <w:rPr>
          <w:rFonts w:hint="eastAsia" w:ascii="仿宋" w:hAnsi="仿宋" w:eastAsia="仿宋" w:cs="仿宋"/>
          <w:sz w:val="32"/>
          <w:szCs w:val="32"/>
        </w:rPr>
      </w:pPr>
      <w:r>
        <w:rPr>
          <w:rFonts w:hint="eastAsia" w:ascii="仿宋" w:hAnsi="仿宋" w:eastAsia="仿宋" w:cs="仿宋"/>
          <w:sz w:val="32"/>
          <w:szCs w:val="32"/>
        </w:rPr>
        <w:t>（四）依法管理景区内的建设活动和其他影响景区生态、景观的活动。</w:t>
      </w:r>
    </w:p>
    <w:p>
      <w:pPr>
        <w:keepNext w:val="0"/>
        <w:keepLines w:val="0"/>
        <w:pageBreakBefore w:val="0"/>
        <w:widowControl w:val="0"/>
        <w:kinsoku/>
        <w:wordWrap/>
        <w:overflowPunct/>
        <w:topLinePunct w:val="0"/>
        <w:autoSpaceDE/>
        <w:autoSpaceDN/>
        <w:bidi w:val="0"/>
        <w:adjustRightInd/>
        <w:snapToGrid/>
        <w:spacing w:line="240" w:lineRule="auto"/>
        <w:ind w:firstLine="645"/>
        <w:textAlignment w:val="auto"/>
        <w:rPr>
          <w:rFonts w:hint="eastAsia" w:ascii="仿宋" w:hAnsi="仿宋" w:eastAsia="仿宋" w:cs="仿宋"/>
          <w:sz w:val="32"/>
          <w:szCs w:val="32"/>
        </w:rPr>
      </w:pPr>
      <w:r>
        <w:rPr>
          <w:rFonts w:hint="eastAsia" w:ascii="仿宋" w:hAnsi="仿宋" w:eastAsia="仿宋" w:cs="仿宋"/>
          <w:sz w:val="32"/>
          <w:szCs w:val="32"/>
        </w:rPr>
        <w:t>（五）配合相关专业部门开展景区的文物保护工作。</w:t>
      </w:r>
    </w:p>
    <w:p>
      <w:pPr>
        <w:keepNext w:val="0"/>
        <w:keepLines w:val="0"/>
        <w:pageBreakBefore w:val="0"/>
        <w:widowControl w:val="0"/>
        <w:kinsoku/>
        <w:wordWrap/>
        <w:overflowPunct/>
        <w:topLinePunct w:val="0"/>
        <w:autoSpaceDE/>
        <w:autoSpaceDN/>
        <w:bidi w:val="0"/>
        <w:adjustRightInd/>
        <w:snapToGrid/>
        <w:spacing w:line="240" w:lineRule="auto"/>
        <w:ind w:firstLine="645"/>
        <w:textAlignment w:val="auto"/>
        <w:rPr>
          <w:rFonts w:hint="eastAsia" w:ascii="仿宋" w:hAnsi="仿宋" w:eastAsia="仿宋" w:cs="仿宋"/>
          <w:sz w:val="32"/>
          <w:szCs w:val="32"/>
        </w:rPr>
      </w:pPr>
      <w:r>
        <w:rPr>
          <w:rFonts w:hint="eastAsia" w:ascii="仿宋" w:hAnsi="仿宋" w:eastAsia="仿宋" w:cs="仿宋"/>
          <w:sz w:val="32"/>
          <w:szCs w:val="32"/>
        </w:rPr>
        <w:t xml:space="preserve">（六）保护民族民间传统文化。 </w:t>
      </w:r>
    </w:p>
    <w:p>
      <w:pPr>
        <w:keepNext w:val="0"/>
        <w:keepLines w:val="0"/>
        <w:pageBreakBefore w:val="0"/>
        <w:widowControl w:val="0"/>
        <w:kinsoku/>
        <w:wordWrap/>
        <w:overflowPunct/>
        <w:topLinePunct w:val="0"/>
        <w:autoSpaceDE/>
        <w:autoSpaceDN/>
        <w:bidi w:val="0"/>
        <w:adjustRightInd/>
        <w:snapToGrid/>
        <w:spacing w:line="240" w:lineRule="auto"/>
        <w:ind w:firstLine="645"/>
        <w:textAlignment w:val="auto"/>
        <w:rPr>
          <w:rFonts w:hint="eastAsia" w:ascii="仿宋" w:hAnsi="仿宋" w:eastAsia="仿宋" w:cs="仿宋"/>
          <w:sz w:val="32"/>
          <w:szCs w:val="32"/>
        </w:rPr>
      </w:pPr>
      <w:r>
        <w:rPr>
          <w:rFonts w:hint="eastAsia" w:ascii="仿宋" w:hAnsi="仿宋" w:eastAsia="仿宋" w:cs="仿宋"/>
          <w:sz w:val="32"/>
          <w:szCs w:val="32"/>
        </w:rPr>
        <w:t>（七）负责景区安全管理工作。</w:t>
      </w:r>
    </w:p>
    <w:p>
      <w:pPr>
        <w:pStyle w:val="2"/>
        <w:rPr>
          <w:rFonts w:hint="default" w:eastAsia="仿宋"/>
          <w:lang w:val="en-US" w:eastAsia="zh-CN"/>
        </w:rPr>
      </w:pPr>
      <w:r>
        <w:rPr>
          <w:rFonts w:hint="eastAsia" w:ascii="仿宋" w:hAnsi="仿宋" w:eastAsia="仿宋" w:cs="仿宋"/>
          <w:sz w:val="32"/>
          <w:szCs w:val="32"/>
        </w:rPr>
        <w:t>（八）办理县委、县政府交办的其他事项。</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（一）党群工作部。</w:t>
      </w:r>
      <w:r>
        <w:rPr>
          <w:rFonts w:hint="eastAsia" w:ascii="仿宋" w:hAnsi="仿宋" w:eastAsia="仿宋" w:cs="仿宋"/>
          <w:sz w:val="32"/>
          <w:szCs w:val="32"/>
        </w:rPr>
        <w:t>负责组织协调党的组织建设、思想建设、作风建设、政治建设和党风廉政建设，以及意识形态工作；负责党建目标管理和党员管理工作；协调团、工、妇以及其它群团组织；负责信访维稳、指导协调景区稳定风险评估等工作；负责党建工作相关文件的起草、归档以及调研工作。</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（二）综合办公室。</w:t>
      </w:r>
      <w:r>
        <w:rPr>
          <w:rFonts w:hint="eastAsia" w:ascii="仿宋" w:hAnsi="仿宋" w:eastAsia="仿宋" w:cs="仿宋"/>
          <w:sz w:val="32"/>
          <w:szCs w:val="32"/>
        </w:rPr>
        <w:t>负责日常行政事务；负责各类会议的筹备工作，文件的起草、公文处理、档案管理、信息调研工作；负责对外事务、接待服务和后勤管理等工作。</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color w:val="000000"/>
          <w:sz w:val="32"/>
          <w:szCs w:val="32"/>
        </w:rPr>
      </w:pPr>
      <w:r>
        <w:rPr>
          <w:rFonts w:hint="eastAsia" w:ascii="仿宋" w:hAnsi="仿宋" w:eastAsia="仿宋" w:cs="仿宋"/>
          <w:b/>
          <w:bCs/>
          <w:sz w:val="32"/>
          <w:szCs w:val="32"/>
        </w:rPr>
        <w:t>（三）人力资源部。</w:t>
      </w:r>
      <w:r>
        <w:rPr>
          <w:rFonts w:hint="eastAsia" w:ascii="仿宋" w:hAnsi="仿宋" w:eastAsia="仿宋" w:cs="仿宋"/>
          <w:color w:val="000000"/>
          <w:sz w:val="32"/>
          <w:szCs w:val="32"/>
        </w:rPr>
        <w:t>负责制定景区人力资源的</w:t>
      </w:r>
      <w:r>
        <w:rPr>
          <w:rFonts w:hint="eastAsia" w:ascii="仿宋" w:hAnsi="仿宋" w:eastAsia="仿宋" w:cs="仿宋"/>
          <w:sz w:val="32"/>
          <w:szCs w:val="32"/>
        </w:rPr>
        <w:t>科学合理调配计划；对接机构编制、组织、人社等部门工作，落实用人制度和相关人员管理办法的制定及组织实施，负责干部职工理论学习教育、业务知识培训；按照管理权限负责干部职工的考核考评工作。</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32"/>
          <w:szCs w:val="32"/>
        </w:rPr>
      </w:pPr>
      <w:r>
        <w:rPr>
          <w:rFonts w:hint="eastAsia" w:ascii="仿宋" w:hAnsi="仿宋" w:eastAsia="仿宋" w:cs="仿宋"/>
          <w:b/>
          <w:bCs/>
          <w:sz w:val="32"/>
          <w:szCs w:val="32"/>
        </w:rPr>
        <w:t xml:space="preserve">    （四）财务统计部。</w:t>
      </w:r>
      <w:r>
        <w:rPr>
          <w:rFonts w:hint="eastAsia" w:ascii="仿宋" w:hAnsi="仿宋" w:eastAsia="仿宋" w:cs="仿宋"/>
          <w:sz w:val="32"/>
          <w:szCs w:val="32"/>
        </w:rPr>
        <w:t>负责编制年度财务计划；负责景区门票的印制；负责财务及统计工作；负责国有资产的监督管理；配合相关部门积极开展审计（含内审）工作。</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（五）发展建设部。</w:t>
      </w:r>
      <w:r>
        <w:rPr>
          <w:rFonts w:hint="eastAsia" w:ascii="仿宋" w:hAnsi="仿宋" w:eastAsia="仿宋" w:cs="仿宋"/>
          <w:sz w:val="32"/>
          <w:szCs w:val="32"/>
        </w:rPr>
        <w:t>负责贯彻落实国家产业政策；负责落实省市县有关国土、环保、林业、水务等方面的政策和法律法规；负责景区内基础公共设施建设项目的组织实施；负责景区内的工程建设，组织内部建设项目的勘测设计、施工组织、竣工验收和预（决）算审查；负责制定恒山景区发展计划。</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（六）安全法制部。</w:t>
      </w:r>
      <w:r>
        <w:rPr>
          <w:rFonts w:hint="eastAsia" w:ascii="仿宋" w:hAnsi="仿宋" w:eastAsia="仿宋" w:cs="仿宋"/>
          <w:sz w:val="32"/>
          <w:szCs w:val="32"/>
        </w:rPr>
        <w:t>负责贯彻落实国家和省、市、县有关安全生产、应急管理等方面的政策和法律法规，制定相关管理办法和规范性文件并组织实施，制定景区突发事件应急预案；负责《风景名胜区条例》《山西省风景名胜区条例》《恒山风景名胜区保护条例》的贯彻实施；负责景区内安全检查、安全保卫、技术防范、治安管理和消防安全的监督工作；负责开展安全法治教育、组织实施安全应急演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（七）市场营销部。</w:t>
      </w:r>
      <w:r>
        <w:rPr>
          <w:rFonts w:hint="eastAsia" w:ascii="仿宋" w:hAnsi="仿宋" w:eastAsia="仿宋" w:cs="仿宋"/>
          <w:sz w:val="32"/>
          <w:szCs w:val="32"/>
        </w:rPr>
        <w:t>负责市场的开拓，制定年度营销计划、与合作单位相关政策；负责旅游资源对外宣传、组织促销活动等工作。</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（八）文保研究部（北岳文化研究院）。</w:t>
      </w:r>
      <w:r>
        <w:rPr>
          <w:rFonts w:hint="eastAsia" w:ascii="仿宋" w:hAnsi="仿宋" w:eastAsia="仿宋" w:cs="仿宋"/>
          <w:sz w:val="32"/>
          <w:szCs w:val="32"/>
        </w:rPr>
        <w:t>负责拟定景区内文物保护管理办法；协助文物部门进行景区内各级文物保护单位的申报工作；负责恒山文化的挖掘整理和弘扬，组织编写大事记、文化志书等工作。</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（九）数字信息部。</w:t>
      </w:r>
      <w:r>
        <w:rPr>
          <w:rFonts w:hint="eastAsia" w:ascii="仿宋" w:hAnsi="仿宋" w:eastAsia="仿宋" w:cs="仿宋"/>
          <w:sz w:val="32"/>
          <w:szCs w:val="32"/>
        </w:rPr>
        <w:t>负责智慧景区建设，开展数字化工作；负责景区网络覆盖建设工程及维护；负责景区的监控管理和监控设施维护保养；负责运行管理“互联网+旅游”大数据平台，及时为游客提供精准数据信息化服务。负责景区生态环境数字化监测和保护。</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（十）旅游服务部。</w:t>
      </w:r>
      <w:r>
        <w:rPr>
          <w:rFonts w:hint="eastAsia" w:ascii="仿宋" w:hAnsi="仿宋" w:eastAsia="仿宋" w:cs="仿宋"/>
          <w:sz w:val="32"/>
          <w:szCs w:val="32"/>
        </w:rPr>
        <w:t>负责受理处置游客投诉和咨询服务、从业人员行风建设等工作；负责景区门票管理工作；负责与相关涉旅单位联系合作；负责游客服务中心日常管理工作。</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（十一）产业拓展部。</w:t>
      </w:r>
      <w:r>
        <w:rPr>
          <w:rFonts w:hint="eastAsia" w:ascii="仿宋" w:hAnsi="仿宋" w:eastAsia="仿宋" w:cs="仿宋"/>
          <w:sz w:val="32"/>
          <w:szCs w:val="32"/>
        </w:rPr>
        <w:t>负责推动景区旅游和周边业态的融合发展，</w:t>
      </w:r>
      <w:r>
        <w:rPr>
          <w:rFonts w:hint="eastAsia" w:ascii="仿宋" w:hAnsi="仿宋" w:eastAsia="仿宋" w:cs="仿宋"/>
          <w:color w:val="000000"/>
          <w:sz w:val="32"/>
          <w:szCs w:val="32"/>
        </w:rPr>
        <w:t>旅游产业前景研究与评估</w:t>
      </w:r>
      <w:r>
        <w:rPr>
          <w:rFonts w:hint="eastAsia" w:ascii="仿宋" w:hAnsi="仿宋" w:eastAsia="仿宋" w:cs="仿宋"/>
          <w:sz w:val="32"/>
          <w:szCs w:val="32"/>
        </w:rPr>
        <w:t>；负责文旅新型业态的打造和培植；负责文创产品的研发；负责与相关合作单位的项目洽谈、发展规划、合同起草签约等工作；负责景区经营性公司的日常业务指导。</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（十二）宗教事务部。</w:t>
      </w:r>
      <w:r>
        <w:rPr>
          <w:rFonts w:hint="eastAsia" w:ascii="仿宋" w:hAnsi="仿宋" w:eastAsia="仿宋" w:cs="仿宋"/>
          <w:sz w:val="32"/>
          <w:szCs w:val="32"/>
        </w:rPr>
        <w:t>贯彻落实党和国家宗教政策，负责景区宗教相关事务的协调和监督管理，协调联络景区内的宗教活动场所的节庆活动。</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（十三）督查总队。</w:t>
      </w:r>
      <w:r>
        <w:rPr>
          <w:rFonts w:hint="eastAsia" w:ascii="仿宋" w:hAnsi="仿宋" w:eastAsia="仿宋" w:cs="仿宋"/>
          <w:sz w:val="32"/>
          <w:szCs w:val="32"/>
        </w:rPr>
        <w:t>依据《恒山管理中心督查管理办法》对恒山景区所有下辖部门单位各项工作进行督查；负责督查发现问题的后续整改，并向党委提交相关处理意见。</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（十四）资源管理部。</w:t>
      </w:r>
      <w:r>
        <w:rPr>
          <w:rFonts w:hint="eastAsia" w:ascii="仿宋" w:hAnsi="仿宋" w:eastAsia="仿宋" w:cs="仿宋"/>
          <w:sz w:val="32"/>
          <w:szCs w:val="32"/>
        </w:rPr>
        <w:t>负责区域内文物安全、环境资源的保护</w:t>
      </w:r>
      <w:r>
        <w:rPr>
          <w:rFonts w:hint="eastAsia" w:ascii="仿宋" w:hAnsi="仿宋" w:eastAsia="仿宋" w:cs="仿宋"/>
          <w:color w:val="000000"/>
          <w:sz w:val="32"/>
          <w:szCs w:val="32"/>
        </w:rPr>
        <w:t>；</w:t>
      </w:r>
      <w:r>
        <w:rPr>
          <w:rFonts w:hint="eastAsia" w:ascii="仿宋" w:hAnsi="仿宋" w:eastAsia="仿宋" w:cs="仿宋"/>
          <w:sz w:val="32"/>
          <w:szCs w:val="32"/>
        </w:rPr>
        <w:t>负责区域内的旅游秩序、安全管理、接待服务等日常实施工作；负责管辖范围内的“防火、防盗、防破坏、防重大事故”工作。</w:t>
      </w:r>
    </w:p>
    <w:p>
      <w:pPr>
        <w:pStyle w:val="2"/>
        <w:numPr>
          <w:ilvl w:val="0"/>
          <w:numId w:val="0"/>
        </w:numPr>
        <w:rPr>
          <w:rFonts w:hint="eastAsia" w:ascii="仿宋" w:hAnsi="仿宋" w:eastAsia="仿宋" w:cs="仿宋"/>
          <w:sz w:val="32"/>
          <w:szCs w:val="32"/>
          <w:lang w:val="en-US" w:eastAsia="zh-CN"/>
        </w:rPr>
      </w:pPr>
      <w:r>
        <w:rPr>
          <w:rFonts w:hint="eastAsia" w:ascii="仿宋" w:hAnsi="仿宋" w:eastAsia="仿宋" w:cs="仿宋"/>
          <w:b/>
          <w:bCs/>
          <w:sz w:val="32"/>
          <w:szCs w:val="32"/>
        </w:rPr>
        <w:t>（十五）自然生态保护部。</w:t>
      </w:r>
      <w:r>
        <w:rPr>
          <w:rFonts w:hint="eastAsia" w:ascii="仿宋" w:hAnsi="仿宋" w:eastAsia="仿宋" w:cs="仿宋"/>
          <w:sz w:val="32"/>
          <w:szCs w:val="32"/>
        </w:rPr>
        <w:t>负责协助上级部门完成景区总体规划、详细规划及其他建设规划的编制、评审、报批工作；依法组织实施批准的各类规划；负责景区内所有建设项目的初审；负责对山体岩石、古树名木、生物物种、地上地下水资源的造册登记和日常管护；协助环境部门完成景区内大气质量监测；负责景区周边自然生态资源的巡查。</w:t>
      </w:r>
    </w:p>
    <w:p>
      <w:pPr>
        <w:pStyle w:val="2"/>
        <w:rPr>
          <w:rFonts w:hint="eastAsia"/>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附件：大同市山西省恒山风景名胜区管理委员会-2021年度部门决算公开报表.xls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4036.88万元，上年度总收入为3372.18万元，增减19.71 %。其中：一般公共预算财政拨款本年度收入为4036.88万元，上年度收入为3372.18万元，增减19.71 %；政府性基金预算财政拨款本年度收入为0万元，上年度收入为0万元，增减0 %；事业收入本年度收入为0万元，上年度收入为0万元，增减0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4036.88万元，上年度总支出为3721.45万元，增减8.48%。其中：基本支出本年度支出为1790.82万元，上年度支出为1464.47万元，增减22.28 %；项目支出本年度支出为2246.06万元，上年度支出为2256.98万元，增减-0.48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22.44万元，上年度支出为35.5万元，增减-36.79 %；其中：因公出国（境）费本年度支出0万元，上年度支出为0万元，增减0 %；公务用车购置及运行维护费支出为22.44万元，上年度支出为35.5万元，增减-36.79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本单位本年度政府采购总价为299.61万元，其中：货物采购21.3万元，工程采购278.31万元，服务采购0万元。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我单位产权房屋面积为6726.87平方米，价值1237.11万元。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单位账面车辆为17辆，价值369.31万元。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3"/>
        <w:ind w:firstLine="640" w:firstLineChars="200"/>
        <w:rPr>
          <w:rFonts w:hint="eastAsia" w:ascii="仿宋" w:hAnsi="仿宋" w:eastAsia="仿宋" w:cs="仿宋"/>
          <w:sz w:val="32"/>
          <w:szCs w:val="32"/>
        </w:rPr>
      </w:pPr>
      <w:r>
        <w:rPr>
          <w:rFonts w:hint="eastAsia" w:ascii="仿宋" w:hAnsi="仿宋" w:eastAsia="仿宋" w:cs="仿宋"/>
          <w:sz w:val="32"/>
          <w:szCs w:val="32"/>
        </w:rPr>
        <w:t>根据预算绩效管理要求，我部门组织对2021年度县级财政预算安排的专项资金类</w:t>
      </w:r>
      <w:r>
        <w:rPr>
          <w:rFonts w:hint="eastAsia" w:ascii="仿宋" w:hAnsi="仿宋" w:eastAsia="仿宋" w:cs="仿宋"/>
          <w:color w:val="auto"/>
          <w:kern w:val="2"/>
          <w:sz w:val="32"/>
          <w:szCs w:val="32"/>
          <w:lang w:val="en-US" w:eastAsia="zh-CN" w:bidi="ar-SA"/>
        </w:rPr>
        <w:t>20</w:t>
      </w:r>
      <w:r>
        <w:rPr>
          <w:rFonts w:hint="eastAsia" w:ascii="仿宋" w:hAnsi="仿宋" w:eastAsia="仿宋" w:cs="仿宋"/>
          <w:sz w:val="32"/>
          <w:szCs w:val="32"/>
        </w:rPr>
        <w:t>个项目支出全面开展</w:t>
      </w:r>
      <w:r>
        <w:rPr>
          <w:rFonts w:hint="eastAsia" w:ascii="仿宋" w:hAnsi="仿宋" w:eastAsia="仿宋" w:cs="仿宋"/>
          <w:b/>
          <w:bCs/>
          <w:sz w:val="32"/>
          <w:szCs w:val="32"/>
        </w:rPr>
        <w:t>绩效自评</w:t>
      </w:r>
      <w:r>
        <w:rPr>
          <w:rFonts w:hint="eastAsia" w:ascii="仿宋" w:hAnsi="仿宋" w:eastAsia="仿宋" w:cs="仿宋"/>
          <w:sz w:val="32"/>
          <w:szCs w:val="32"/>
        </w:rPr>
        <w:t>，涉及预算资金</w:t>
      </w:r>
      <w:r>
        <w:rPr>
          <w:rFonts w:hint="eastAsia" w:ascii="仿宋" w:hAnsi="仿宋" w:eastAsia="仿宋" w:cs="仿宋"/>
          <w:color w:val="auto"/>
          <w:kern w:val="2"/>
          <w:sz w:val="32"/>
          <w:szCs w:val="32"/>
          <w:lang w:val="en-US" w:eastAsia="zh-CN" w:bidi="ar-SA"/>
        </w:rPr>
        <w:t>2231.06</w:t>
      </w:r>
      <w:r>
        <w:rPr>
          <w:rFonts w:hint="eastAsia" w:ascii="仿宋" w:hAnsi="仿宋" w:eastAsia="仿宋" w:cs="仿宋"/>
          <w:sz w:val="32"/>
          <w:szCs w:val="32"/>
        </w:rPr>
        <w:t>万元，占一般公共预算项目支出总额的</w:t>
      </w:r>
      <w:r>
        <w:rPr>
          <w:rFonts w:hint="eastAsia" w:ascii="仿宋" w:hAnsi="仿宋" w:eastAsia="仿宋" w:cs="仿宋"/>
          <w:color w:val="auto"/>
          <w:kern w:val="2"/>
          <w:sz w:val="32"/>
          <w:szCs w:val="32"/>
          <w:lang w:val="en-US" w:eastAsia="zh-CN" w:bidi="ar-SA"/>
        </w:rPr>
        <w:t>99.33</w:t>
      </w:r>
      <w:r>
        <w:rPr>
          <w:rFonts w:hint="eastAsia" w:ascii="仿宋" w:hAnsi="仿宋" w:eastAsia="仿宋" w:cs="仿宋"/>
          <w:sz w:val="32"/>
          <w:szCs w:val="32"/>
        </w:rPr>
        <w:t>%。我部门无政府性基金预算项目支出，没有对 2021 年度政府性基金预算项目支出开展绩效自评。</w:t>
      </w:r>
    </w:p>
    <w:p>
      <w:pPr>
        <w:pStyle w:val="3"/>
        <w:ind w:firstLine="640" w:firstLineChars="200"/>
        <w:rPr>
          <w:rFonts w:hint="eastAsia" w:ascii="仿宋" w:hAnsi="仿宋" w:eastAsia="仿宋" w:cs="仿宋"/>
          <w:sz w:val="32"/>
          <w:szCs w:val="32"/>
        </w:rPr>
      </w:pPr>
      <w:r>
        <w:rPr>
          <w:rFonts w:hint="eastAsia" w:ascii="仿宋" w:hAnsi="仿宋" w:eastAsia="仿宋" w:cs="仿宋"/>
          <w:sz w:val="32"/>
          <w:szCs w:val="32"/>
        </w:rPr>
        <w:t>（2）部门决算中项目</w:t>
      </w:r>
      <w:r>
        <w:rPr>
          <w:rFonts w:hint="eastAsia" w:ascii="仿宋" w:hAnsi="仿宋" w:eastAsia="仿宋" w:cs="仿宋"/>
          <w:b/>
          <w:bCs/>
          <w:sz w:val="32"/>
          <w:szCs w:val="32"/>
        </w:rPr>
        <w:t>绩效自评</w:t>
      </w:r>
      <w:r>
        <w:rPr>
          <w:rFonts w:hint="eastAsia" w:ascii="仿宋" w:hAnsi="仿宋" w:eastAsia="仿宋" w:cs="仿宋"/>
          <w:sz w:val="32"/>
          <w:szCs w:val="32"/>
        </w:rPr>
        <w:t>结果。</w:t>
      </w:r>
      <w:bookmarkStart w:id="0" w:name="_GoBack"/>
      <w:bookmarkEnd w:id="0"/>
    </w:p>
    <w:p>
      <w:pPr>
        <w:pStyle w:val="3"/>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景区运转经费</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color w:val="auto"/>
          <w:kern w:val="2"/>
          <w:sz w:val="32"/>
          <w:szCs w:val="32"/>
          <w:lang w:val="en-US" w:eastAsia="zh-CN" w:bidi="ar-SA"/>
        </w:rPr>
        <w:t>99.98</w:t>
      </w:r>
      <w:r>
        <w:rPr>
          <w:rFonts w:hint="eastAsia" w:ascii="仿宋" w:hAnsi="仿宋" w:eastAsia="仿宋" w:cs="仿宋"/>
          <w:sz w:val="32"/>
          <w:szCs w:val="32"/>
        </w:rPr>
        <w:t>分（见附件2）。全年预算数为</w:t>
      </w:r>
      <w:r>
        <w:rPr>
          <w:rFonts w:hint="eastAsia" w:ascii="仿宋" w:hAnsi="仿宋" w:eastAsia="仿宋" w:cs="仿宋"/>
          <w:sz w:val="32"/>
          <w:szCs w:val="32"/>
          <w:lang w:val="en-US" w:eastAsia="zh-CN"/>
        </w:rPr>
        <w:t>550</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548.66</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99.76</w:t>
      </w:r>
      <w:r>
        <w:rPr>
          <w:rFonts w:hint="eastAsia" w:ascii="仿宋" w:hAnsi="仿宋" w:eastAsia="仿宋" w:cs="仿宋"/>
          <w:sz w:val="32"/>
          <w:szCs w:val="32"/>
        </w:rPr>
        <w:t>%。项目绩效目标完成情况</w:t>
      </w:r>
      <w:r>
        <w:rPr>
          <w:rFonts w:hint="eastAsia" w:ascii="仿宋" w:hAnsi="仿宋" w:eastAsia="仿宋" w:cs="仿宋"/>
          <w:color w:val="auto"/>
          <w:kern w:val="2"/>
          <w:sz w:val="32"/>
          <w:szCs w:val="32"/>
          <w:lang w:val="en-US" w:eastAsia="zh-CN" w:bidi="ar-SA"/>
        </w:rPr>
        <w:t>：一是项目实施和预算执行情况及分析已完成；二是产出情况及分析；三是效益情况及分析已完成；四是满意度情况及分析满意。发现的主要问题及原因：无。下一步改进措施：无。</w:t>
      </w:r>
    </w:p>
    <w:p>
      <w:pPr>
        <w:pStyle w:val="3"/>
        <w:ind w:firstLine="640" w:firstLineChars="200"/>
        <w:rPr>
          <w:rFonts w:hint="eastAsia" w:ascii="仿宋" w:hAnsi="仿宋" w:eastAsia="仿宋" w:cs="仿宋"/>
          <w:sz w:val="32"/>
          <w:szCs w:val="32"/>
        </w:rPr>
      </w:pPr>
      <w:r>
        <w:rPr>
          <w:rFonts w:hint="eastAsia" w:ascii="仿宋" w:hAnsi="仿宋" w:eastAsia="仿宋" w:cs="仿宋"/>
          <w:color w:val="auto"/>
          <w:kern w:val="2"/>
          <w:sz w:val="32"/>
          <w:szCs w:val="32"/>
          <w:lang w:val="en-US" w:eastAsia="zh-CN" w:bidi="ar-SA"/>
        </w:rPr>
        <w:t>岳门湾停车场改造工程尾款</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color w:val="auto"/>
          <w:kern w:val="2"/>
          <w:sz w:val="32"/>
          <w:szCs w:val="32"/>
          <w:lang w:val="en-US" w:eastAsia="zh-CN" w:bidi="ar-SA"/>
        </w:rPr>
        <w:t>100</w:t>
      </w:r>
      <w:r>
        <w:rPr>
          <w:rFonts w:hint="eastAsia" w:ascii="仿宋" w:hAnsi="仿宋" w:eastAsia="仿宋" w:cs="仿宋"/>
          <w:sz w:val="32"/>
          <w:szCs w:val="32"/>
        </w:rPr>
        <w:t>分（见附件2）。全年预算数为</w:t>
      </w:r>
      <w:r>
        <w:rPr>
          <w:rFonts w:hint="eastAsia" w:ascii="仿宋" w:hAnsi="仿宋" w:eastAsia="仿宋" w:cs="仿宋"/>
          <w:sz w:val="32"/>
          <w:szCs w:val="32"/>
          <w:lang w:val="en-US" w:eastAsia="zh-CN"/>
        </w:rPr>
        <w:t>447.25</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447.07</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99.96</w:t>
      </w:r>
      <w:r>
        <w:rPr>
          <w:rFonts w:hint="eastAsia" w:ascii="仿宋" w:hAnsi="仿宋" w:eastAsia="仿宋" w:cs="仿宋"/>
          <w:sz w:val="32"/>
          <w:szCs w:val="32"/>
        </w:rPr>
        <w:t>%。项目绩效目标完成情况</w:t>
      </w:r>
      <w:r>
        <w:rPr>
          <w:rFonts w:hint="eastAsia" w:ascii="仿宋" w:hAnsi="仿宋" w:eastAsia="仿宋" w:cs="仿宋"/>
          <w:color w:val="auto"/>
          <w:kern w:val="2"/>
          <w:sz w:val="32"/>
          <w:szCs w:val="32"/>
          <w:lang w:val="en-US" w:eastAsia="zh-CN" w:bidi="ar-SA"/>
        </w:rPr>
        <w:t>：一是项目实施和预算执行情况及分析已完成；二是产出情况及分析；三是效益情况及分析已完成；四是满意度情况及分析满意。发现的主要问题及原因：无。下一步改进措施：无。</w:t>
      </w:r>
    </w:p>
    <w:p>
      <w:pPr>
        <w:pStyle w:val="3"/>
        <w:ind w:firstLine="640" w:firstLineChars="200"/>
        <w:rPr>
          <w:rFonts w:hint="eastAsia" w:ascii="仿宋" w:hAnsi="仿宋" w:eastAsia="仿宋" w:cs="仿宋"/>
          <w:sz w:val="32"/>
          <w:szCs w:val="32"/>
        </w:rPr>
      </w:pPr>
      <w:r>
        <w:rPr>
          <w:rFonts w:hint="eastAsia" w:ascii="仿宋" w:hAnsi="仿宋" w:eastAsia="仿宋" w:cs="仿宋"/>
          <w:color w:val="auto"/>
          <w:kern w:val="2"/>
          <w:sz w:val="32"/>
          <w:szCs w:val="32"/>
          <w:lang w:val="en-US" w:eastAsia="zh-CN" w:bidi="ar-SA"/>
        </w:rPr>
        <w:t>恒山景区环卫经费</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color w:val="auto"/>
          <w:kern w:val="2"/>
          <w:sz w:val="32"/>
          <w:szCs w:val="32"/>
          <w:lang w:val="en-US" w:eastAsia="zh-CN" w:bidi="ar-SA"/>
        </w:rPr>
        <w:t>97.5</w:t>
      </w:r>
      <w:r>
        <w:rPr>
          <w:rFonts w:hint="eastAsia" w:ascii="仿宋" w:hAnsi="仿宋" w:eastAsia="仿宋" w:cs="仿宋"/>
          <w:sz w:val="32"/>
          <w:szCs w:val="32"/>
        </w:rPr>
        <w:t>分（见附件2）。全年预算数为</w:t>
      </w:r>
      <w:r>
        <w:rPr>
          <w:rFonts w:hint="eastAsia" w:ascii="仿宋" w:hAnsi="仿宋" w:eastAsia="仿宋" w:cs="仿宋"/>
          <w:sz w:val="32"/>
          <w:szCs w:val="32"/>
          <w:lang w:val="en-US" w:eastAsia="zh-CN"/>
        </w:rPr>
        <w:t>392.58</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294.44</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75</w:t>
      </w:r>
      <w:r>
        <w:rPr>
          <w:rFonts w:hint="eastAsia" w:ascii="仿宋" w:hAnsi="仿宋" w:eastAsia="仿宋" w:cs="仿宋"/>
          <w:sz w:val="32"/>
          <w:szCs w:val="32"/>
        </w:rPr>
        <w:t>%。项目绩效目标完成情况</w:t>
      </w:r>
      <w:r>
        <w:rPr>
          <w:rFonts w:hint="eastAsia" w:ascii="仿宋" w:hAnsi="仿宋" w:eastAsia="仿宋" w:cs="仿宋"/>
          <w:color w:val="auto"/>
          <w:kern w:val="2"/>
          <w:sz w:val="32"/>
          <w:szCs w:val="32"/>
          <w:lang w:val="en-US" w:eastAsia="zh-CN" w:bidi="ar-SA"/>
        </w:rPr>
        <w:t>：一是项目实施和预算执行情况及分析已完成并按照合同延续到下一年；二是产出情况及分析；三是效益情况及分析已完成；四是满意度情况及分析满意。发现的主要问题及原因：无。下一步改进措施：无。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jc w:val="lef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r>
        <w:rPr>
          <w:rFonts w:hint="eastAsia" w:ascii="仿宋" w:hAnsi="仿宋" w:eastAsia="仿宋" w:cs="仿宋"/>
          <w:color w:val="000000" w:themeColor="text1"/>
          <w:sz w:val="32"/>
          <w:szCs w:val="32"/>
          <w14:textFill>
            <w14:solidFill>
              <w14:schemeClr w14:val="tx1"/>
            </w14:solidFill>
          </w14:textFill>
        </w:rPr>
        <w:t xml:space="preserve">   </w:t>
      </w:r>
    </w:p>
    <w:p>
      <w:pPr>
        <w:ind w:firstLine="640" w:firstLineChars="200"/>
        <w:jc w:val="lef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 xml:space="preserve">山西省恒山风景名胜区管理委员会                                                                                                     </w:t>
      </w:r>
      <w:r>
        <w:rPr>
          <w:rFonts w:hint="eastAsia" w:ascii="仿宋" w:hAnsi="仿宋" w:eastAsia="仿宋" w:cs="仿宋"/>
          <w:color w:val="000000" w:themeColor="text1"/>
          <w:sz w:val="32"/>
          <w:szCs w:val="32"/>
          <w:lang w:val="en-US" w:eastAsia="zh-CN"/>
          <w14:textFill>
            <w14:solidFill>
              <w14:schemeClr w14:val="tx1"/>
            </w14:solidFill>
          </w14:textFill>
        </w:rPr>
        <w:t xml:space="preserve">         </w:t>
      </w:r>
    </w:p>
    <w:p>
      <w:pPr>
        <w:jc w:val="center"/>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2022年7月15日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ADFBE7"/>
    <w:multiLevelType w:val="singleLevel"/>
    <w:tmpl w:val="12ADFBE7"/>
    <w:lvl w:ilvl="0" w:tentative="0">
      <w:start w:val="1"/>
      <w:numFmt w:val="chineseCounting"/>
      <w:suff w:val="nothing"/>
      <w:lvlText w:val="%1、"/>
      <w:lvlJc w:val="left"/>
      <w:rPr>
        <w:rFonts w:hint="eastAsia"/>
      </w:rPr>
    </w:lvl>
  </w:abstractNum>
  <w:abstractNum w:abstractNumId="1">
    <w:nsid w:val="15257575"/>
    <w:multiLevelType w:val="singleLevel"/>
    <w:tmpl w:val="15257575"/>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4ZjAzMWU5MTg2Yjc1ZDM5NjI2ZTdlZDk2YzM4ZmEifQ=="/>
  </w:docVars>
  <w:rsids>
    <w:rsidRoot w:val="18CC336F"/>
    <w:rsid w:val="03C14F15"/>
    <w:rsid w:val="18CC336F"/>
    <w:rsid w:val="531C6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
    <w:pPr>
      <w:keepNext/>
      <w:keepLines/>
      <w:outlineLvl w:val="1"/>
    </w:pPr>
    <w:rPr>
      <w:rFonts w:ascii="黑体" w:hAnsi="Cambria" w:eastAsia="黑体" w:cs="Times New Roman"/>
      <w:bCs/>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4738</Words>
  <Characters>5012</Characters>
  <Lines>0</Lines>
  <Paragraphs>0</Paragraphs>
  <TotalTime>2</TotalTime>
  <ScaleCrop>false</ScaleCrop>
  <LinksUpToDate>false</LinksUpToDate>
  <CharactersWithSpaces>5216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2022-07-13T01:46:00Z</dcterms:created>
  <dc:creator>潙孒喁見沵1416277123</dc:creator>
  <cp:lastModifiedBy>Administrator</cp:lastModifiedBy>
  <dcterms:modified xsi:type="dcterms:W3CDTF">2022-07-26T08:50:17Z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C320FFAF047145549B50FEA809E6B682</vt:lpwstr>
  </property>
</Properties>
</file>