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C97611">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浑源县南榆林乡人民政府</w:t>
      </w:r>
    </w:p>
    <w:p w14:paraId="4681F5FF">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14:paraId="6DD7DEBE">
      <w:pPr>
        <w:rPr>
          <w:rFonts w:hint="eastAsia" w:ascii="方正仿宋_GBK" w:hAnsi="方正仿宋_GBK" w:eastAsia="方正仿宋_GBK" w:cs="方正仿宋_GBK"/>
          <w:b/>
          <w:color w:val="000000" w:themeColor="text1"/>
          <w:kern w:val="0"/>
          <w:sz w:val="32"/>
          <w:szCs w:val="32"/>
          <w14:textFill>
            <w14:solidFill>
              <w14:schemeClr w14:val="tx1"/>
            </w14:solidFill>
          </w14:textFill>
        </w:rPr>
      </w:pPr>
      <w:r>
        <w:rPr>
          <w:rFonts w:hint="eastAsia" w:ascii="方正仿宋_GBK" w:hAnsi="方正仿宋_GBK" w:eastAsia="方正仿宋_GBK" w:cs="方正仿宋_GBK"/>
          <w:b/>
          <w:color w:val="000000" w:themeColor="text1"/>
          <w:kern w:val="0"/>
          <w:sz w:val="32"/>
          <w:szCs w:val="32"/>
          <w14:textFill>
            <w14:solidFill>
              <w14:schemeClr w14:val="tx1"/>
            </w14:solidFill>
          </w14:textFill>
        </w:rPr>
        <w:t>目录</w:t>
      </w:r>
    </w:p>
    <w:p w14:paraId="468C4979">
      <w:pPr>
        <w:rPr>
          <w:rFonts w:hint="eastAsia" w:ascii="方正仿宋_GBK" w:hAnsi="方正仿宋_GBK" w:eastAsia="方正仿宋_GBK" w:cs="方正仿宋_GBK"/>
          <w:b/>
          <w:color w:val="000000" w:themeColor="text1"/>
          <w:kern w:val="0"/>
          <w:sz w:val="32"/>
          <w:szCs w:val="32"/>
          <w14:textFill>
            <w14:solidFill>
              <w14:schemeClr w14:val="tx1"/>
            </w14:solidFill>
          </w14:textFill>
        </w:rPr>
      </w:pPr>
      <w:r>
        <w:rPr>
          <w:rFonts w:hint="eastAsia" w:ascii="方正仿宋_GBK" w:hAnsi="方正仿宋_GBK" w:eastAsia="方正仿宋_GBK" w:cs="方正仿宋_GBK"/>
          <w:b/>
          <w:color w:val="000000" w:themeColor="text1"/>
          <w:kern w:val="0"/>
          <w:sz w:val="32"/>
          <w:szCs w:val="32"/>
          <w14:textFill>
            <w14:solidFill>
              <w14:schemeClr w14:val="tx1"/>
            </w14:solidFill>
          </w14:textFill>
        </w:rPr>
        <w:t>第一部分 部门及单位概况</w:t>
      </w:r>
    </w:p>
    <w:p w14:paraId="6CB5C1C2">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一、部门职责</w:t>
      </w:r>
    </w:p>
    <w:p w14:paraId="1B39834E">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二、机构设置</w:t>
      </w:r>
    </w:p>
    <w:p w14:paraId="59314DE7">
      <w:pPr>
        <w:rPr>
          <w:rFonts w:hint="eastAsia" w:ascii="方正仿宋_GBK" w:hAnsi="方正仿宋_GBK" w:eastAsia="方正仿宋_GBK" w:cs="方正仿宋_GBK"/>
          <w:b/>
          <w:color w:val="000000" w:themeColor="text1"/>
          <w:kern w:val="0"/>
          <w:sz w:val="32"/>
          <w:szCs w:val="32"/>
          <w14:textFill>
            <w14:solidFill>
              <w14:schemeClr w14:val="tx1"/>
            </w14:solidFill>
          </w14:textFill>
        </w:rPr>
      </w:pPr>
      <w:r>
        <w:rPr>
          <w:rFonts w:hint="eastAsia" w:ascii="方正仿宋_GBK" w:hAnsi="方正仿宋_GBK" w:eastAsia="方正仿宋_GBK" w:cs="方正仿宋_GBK"/>
          <w:b/>
          <w:color w:val="000000" w:themeColor="text1"/>
          <w:kern w:val="0"/>
          <w:sz w:val="32"/>
          <w:szCs w:val="32"/>
          <w14:textFill>
            <w14:solidFill>
              <w14:schemeClr w14:val="tx1"/>
            </w14:solidFill>
          </w14:textFill>
        </w:rPr>
        <w:t>第二部分 2021年度部门决算公开报表</w:t>
      </w:r>
    </w:p>
    <w:p w14:paraId="4B3EA8C5">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表一：GK01 收入支出决算总表(公开01表)</w:t>
      </w:r>
    </w:p>
    <w:p w14:paraId="315FE747">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表二：GK02 收入决算表(公开02表)</w:t>
      </w:r>
    </w:p>
    <w:p w14:paraId="12A35FB1">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表三：GK03 支出决算表(公开03表)</w:t>
      </w:r>
    </w:p>
    <w:p w14:paraId="609C502B">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表四：GK04 财政拨款收入支出决算总表(公开04表)</w:t>
      </w:r>
    </w:p>
    <w:p w14:paraId="5A03F175">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表五：GK05 一般公共预算财政拨款支出决算表（一）(公开05表)</w:t>
      </w:r>
    </w:p>
    <w:p w14:paraId="50061DB6">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表六：GK06 一般公共预算财政拨款支出决算表（二）(公开06表)</w:t>
      </w:r>
    </w:p>
    <w:p w14:paraId="17DAF2FF">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表七：GK07 一般公共预算财政拨款“三公”经费支出决算表(公开07)</w:t>
      </w:r>
    </w:p>
    <w:p w14:paraId="22A24FC2">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表八：GK08 政府性基金预算财政拨款收入支出决算表(公开08表)</w:t>
      </w:r>
    </w:p>
    <w:p w14:paraId="4C3B3F13">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表九：GK09 国有资本经营预算财政拨款支出决算表(公开09表)</w:t>
      </w:r>
    </w:p>
    <w:p w14:paraId="5F3DE9BF">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表十：GK10 部门决算公开相关信息统计表(公开10表)</w:t>
      </w:r>
    </w:p>
    <w:p w14:paraId="6ADEC145">
      <w:pPr>
        <w:rPr>
          <w:rFonts w:hint="eastAsia" w:ascii="方正仿宋_GBK" w:hAnsi="方正仿宋_GBK" w:eastAsia="方正仿宋_GBK" w:cs="方正仿宋_GBK"/>
          <w:b/>
          <w:color w:val="000000" w:themeColor="text1"/>
          <w:kern w:val="0"/>
          <w:sz w:val="32"/>
          <w:szCs w:val="32"/>
          <w14:textFill>
            <w14:solidFill>
              <w14:schemeClr w14:val="tx1"/>
            </w14:solidFill>
          </w14:textFill>
        </w:rPr>
      </w:pPr>
      <w:r>
        <w:rPr>
          <w:rFonts w:hint="eastAsia" w:ascii="方正仿宋_GBK" w:hAnsi="方正仿宋_GBK" w:eastAsia="方正仿宋_GBK" w:cs="方正仿宋_GBK"/>
          <w:b/>
          <w:color w:val="000000" w:themeColor="text1"/>
          <w:kern w:val="0"/>
          <w:sz w:val="32"/>
          <w:szCs w:val="32"/>
          <w14:textFill>
            <w14:solidFill>
              <w14:schemeClr w14:val="tx1"/>
            </w14:solidFill>
          </w14:textFill>
        </w:rPr>
        <w:t>第三部分 2021年度部门决算情况说明</w:t>
      </w:r>
    </w:p>
    <w:p w14:paraId="68302B77">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一、决算收入情况</w:t>
      </w:r>
    </w:p>
    <w:p w14:paraId="3D4A5F49">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二、决算支出情况</w:t>
      </w:r>
    </w:p>
    <w:p w14:paraId="5A03116B">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三、“三公”经费情况</w:t>
      </w:r>
    </w:p>
    <w:p w14:paraId="67E173B5">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四、机关运行经费情况</w:t>
      </w:r>
    </w:p>
    <w:p w14:paraId="11D8917F">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五、政府决算采购情况说明</w:t>
      </w:r>
    </w:p>
    <w:p w14:paraId="58714B9B">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六、国有资产占有使用情况</w:t>
      </w:r>
    </w:p>
    <w:p w14:paraId="1A5782DA">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七、绩效情况说明</w:t>
      </w:r>
    </w:p>
    <w:p w14:paraId="5D2A5399">
      <w:pPr>
        <w:rPr>
          <w:rFonts w:hint="eastAsia" w:ascii="方正仿宋_GBK" w:hAnsi="方正仿宋_GBK" w:eastAsia="方正仿宋_GBK" w:cs="方正仿宋_GBK"/>
          <w:b/>
          <w:color w:val="000000" w:themeColor="text1"/>
          <w:kern w:val="0"/>
          <w:sz w:val="32"/>
          <w:szCs w:val="32"/>
          <w14:textFill>
            <w14:solidFill>
              <w14:schemeClr w14:val="tx1"/>
            </w14:solidFill>
          </w14:textFill>
        </w:rPr>
      </w:pPr>
      <w:r>
        <w:rPr>
          <w:rFonts w:hint="eastAsia" w:ascii="方正仿宋_GBK" w:hAnsi="方正仿宋_GBK" w:eastAsia="方正仿宋_GBK" w:cs="方正仿宋_GBK"/>
          <w:b/>
          <w:color w:val="000000" w:themeColor="text1"/>
          <w:kern w:val="0"/>
          <w:sz w:val="32"/>
          <w:szCs w:val="32"/>
          <w14:textFill>
            <w14:solidFill>
              <w14:schemeClr w14:val="tx1"/>
            </w14:solidFill>
          </w14:textFill>
        </w:rPr>
        <w:t>第四部分 部门名词解释</w:t>
      </w:r>
    </w:p>
    <w:p w14:paraId="4BD81B35">
      <w:pPr>
        <w:rPr>
          <w:rFonts w:hint="eastAsia" w:ascii="方正仿宋_GBK" w:hAnsi="方正仿宋_GBK" w:eastAsia="方正仿宋_GBK" w:cs="方正仿宋_GBK"/>
          <w:b/>
          <w:color w:val="000000" w:themeColor="text1"/>
          <w:kern w:val="0"/>
          <w:sz w:val="32"/>
          <w:szCs w:val="32"/>
          <w14:textFill>
            <w14:solidFill>
              <w14:schemeClr w14:val="tx1"/>
            </w14:solidFill>
          </w14:textFill>
        </w:rPr>
      </w:pPr>
    </w:p>
    <w:p w14:paraId="7846500F">
      <w:pPr>
        <w:rPr>
          <w:rFonts w:hint="eastAsia" w:ascii="方正仿宋_GBK" w:hAnsi="方正仿宋_GBK" w:eastAsia="方正仿宋_GBK" w:cs="方正仿宋_GBK"/>
          <w:b/>
          <w:color w:val="000000" w:themeColor="text1"/>
          <w:kern w:val="0"/>
          <w:sz w:val="32"/>
          <w:szCs w:val="32"/>
          <w14:textFill>
            <w14:solidFill>
              <w14:schemeClr w14:val="tx1"/>
            </w14:solidFill>
          </w14:textFill>
        </w:rPr>
      </w:pPr>
      <w:r>
        <w:rPr>
          <w:rFonts w:hint="eastAsia" w:ascii="方正仿宋_GBK" w:hAnsi="方正仿宋_GBK" w:eastAsia="方正仿宋_GBK" w:cs="方正仿宋_GBK"/>
          <w:b/>
          <w:color w:val="000000" w:themeColor="text1"/>
          <w:kern w:val="0"/>
          <w:sz w:val="32"/>
          <w:szCs w:val="32"/>
          <w14:textFill>
            <w14:solidFill>
              <w14:schemeClr w14:val="tx1"/>
            </w14:solidFill>
          </w14:textFill>
        </w:rPr>
        <w:t>内容</w:t>
      </w:r>
    </w:p>
    <w:p w14:paraId="64BD9959">
      <w:pPr>
        <w:rPr>
          <w:rFonts w:hint="eastAsia" w:ascii="方正仿宋_GBK" w:hAnsi="方正仿宋_GBK" w:eastAsia="方正仿宋_GBK" w:cs="方正仿宋_GBK"/>
          <w:b/>
          <w:color w:val="333333"/>
          <w:kern w:val="0"/>
          <w:sz w:val="32"/>
          <w:szCs w:val="32"/>
        </w:rPr>
      </w:pPr>
      <w:r>
        <w:rPr>
          <w:rFonts w:hint="eastAsia" w:ascii="方正仿宋_GBK" w:hAnsi="方正仿宋_GBK" w:eastAsia="方正仿宋_GBK" w:cs="方正仿宋_GBK"/>
          <w:b/>
          <w:color w:val="333333"/>
          <w:kern w:val="0"/>
          <w:sz w:val="32"/>
          <w:szCs w:val="32"/>
        </w:rPr>
        <w:t>第一部分：</w:t>
      </w:r>
      <w:r>
        <w:rPr>
          <w:rFonts w:hint="eastAsia" w:ascii="方正仿宋_GBK" w:hAnsi="方正仿宋_GBK" w:eastAsia="方正仿宋_GBK" w:cs="方正仿宋_GBK"/>
          <w:b/>
          <w:sz w:val="32"/>
          <w:szCs w:val="32"/>
        </w:rPr>
        <w:t>大同市浑源县南榆林乡人民政府</w:t>
      </w:r>
      <w:r>
        <w:rPr>
          <w:rFonts w:hint="eastAsia" w:ascii="方正仿宋_GBK" w:hAnsi="方正仿宋_GBK" w:eastAsia="方正仿宋_GBK" w:cs="方正仿宋_GBK"/>
          <w:b/>
          <w:color w:val="333333"/>
          <w:kern w:val="0"/>
          <w:sz w:val="32"/>
          <w:szCs w:val="32"/>
        </w:rPr>
        <w:t>概况</w:t>
      </w:r>
    </w:p>
    <w:p w14:paraId="1FD21B3B">
      <w:pPr>
        <w:ind w:firstLine="640" w:firstLineChars="200"/>
        <w:rPr>
          <w:rFonts w:hint="eastAsia" w:ascii="方正仿宋_GBK" w:hAnsi="方正仿宋_GBK" w:eastAsia="方正仿宋_GBK" w:cs="方正仿宋_GBK"/>
          <w:b/>
          <w:color w:val="333333"/>
          <w:kern w:val="0"/>
          <w:sz w:val="32"/>
          <w:szCs w:val="32"/>
        </w:rPr>
      </w:pPr>
      <w:r>
        <w:rPr>
          <w:rFonts w:hint="eastAsia" w:ascii="方正仿宋_GBK" w:hAnsi="方正仿宋_GBK" w:eastAsia="方正仿宋_GBK" w:cs="方正仿宋_GBK"/>
          <w:b/>
          <w:color w:val="333333"/>
          <w:kern w:val="0"/>
          <w:sz w:val="32"/>
          <w:szCs w:val="32"/>
        </w:rPr>
        <w:t>一、部门职责</w:t>
      </w:r>
    </w:p>
    <w:p w14:paraId="14E8FB5C">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(一）宣传贯彻执行党的路线方针政策和国家法律法规,落实上级党委、政府的各项决策部署，执行上级党组织的决议、决定和本乡党员代表大会（党员大会）的决议，保证上级安排的各项任务顺利完成。</w:t>
      </w:r>
    </w:p>
    <w:p w14:paraId="3646156D">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(二)讨论和决定本乡经济建设、政治建设、文化建设、社会建设、生态文明建设和党的建设以及乡村振兴中的重大问题.。</w:t>
      </w:r>
    </w:p>
    <w:p w14:paraId="79190860">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执行本乡经济和社会发展计划、预算，管理本乡经济、教育、科学、文化、卫生健康、体育事业和财政、统计、民政、司法行政等行政工作。落实本乡经济发展战略总体规划和土地利用、城镇建设、产业发展等专项规划，组织发展区域特色经济,提供符合当地实际和群众需求的公共服务。</w:t>
      </w:r>
    </w:p>
    <w:p w14:paraId="044B6F43">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乡党委领导乡政权机关、群团组织和其他各类组织,加强指导和规范,支持和保证这些机关和组织依照国家法律法规以及各自章程履行职责。坚持党管武装的根本原则和制度,协调各方力量,对乡人民武装工作实行统一领导.</w:t>
      </w:r>
    </w:p>
    <w:p w14:paraId="213E5689">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五)加强乡党委自身建设和村党组织建设，以及其它隶属乡党委的党组织建设，抓好发展党员工作,加强党员队伍建设。履行党风廉政建设主体责任,维护和执行党的纪律,监督党员干部和其他任何工作人员严格遵守国家法律法规。</w:t>
      </w:r>
    </w:p>
    <w:p w14:paraId="54AD1EAB">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（六）按照干部管理权限，负责对干部的教育、培训、选拔、考核和监督工作。协助管理上级有关部门派驻乡单位的干部、做好人才服务和引进工作。</w:t>
      </w:r>
    </w:p>
    <w:p w14:paraId="68B01171">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七)加强平安建设工作,依托村（社区）合理划分基本网格单元,统筹网格内各项工作,推进网格标准化建设,构建公共安全防控体系。加强法制宣传,调解民事纠纷,化解农村社会矛盾,维护农村社会稳定。加强对突发事件的预警和管理,做好应急管理、防灾减灾、生态环境保护、美丽乡村建设、民生保障、脱贫致富、民族宗教等工作,承担民兵预备役、征兵、</w:t>
      </w:r>
      <w:r>
        <w:rPr>
          <w:rFonts w:hint="eastAsia" w:ascii="方正仿宋_GBK" w:hAnsi="方正仿宋_GBK" w:eastAsia="方正仿宋_GBK" w:cs="方正仿宋_GBK"/>
          <w:sz w:val="32"/>
          <w:szCs w:val="32"/>
          <w:lang w:eastAsia="zh-CN"/>
        </w:rPr>
        <w:t>退役</w:t>
      </w:r>
      <w:r>
        <w:rPr>
          <w:rFonts w:hint="eastAsia" w:ascii="方正仿宋_GBK" w:hAnsi="方正仿宋_GBK" w:eastAsia="方正仿宋_GBK" w:cs="方正仿宋_GBK"/>
          <w:sz w:val="32"/>
          <w:szCs w:val="32"/>
        </w:rPr>
        <w:t>军人服务、拥军优属等工作。</w:t>
      </w:r>
    </w:p>
    <w:p w14:paraId="1030BEA8">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八）推进基层民主,指导村民自治,推动农村社区建设、完善民主议事制度,推进农村村务公开,引导农民有序参与村级事务管理,促进社会组织健康发展。依法保护国家、集体、公民财产和各类组织的合法权益,保障公民人身权利、民主权利和其他权利,维护社会秩序,构建农村和谐社会。</w:t>
      </w:r>
    </w:p>
    <w:p w14:paraId="7DEE1A56">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（九）完成上级党委、政府交办的其他事项。</w:t>
      </w:r>
    </w:p>
    <w:p w14:paraId="0CA13AF1">
      <w:pPr>
        <w:rPr>
          <w:rFonts w:hint="eastAsia" w:ascii="方正仿宋_GBK" w:hAnsi="方正仿宋_GBK" w:eastAsia="方正仿宋_GBK" w:cs="方正仿宋_GBK"/>
          <w:b/>
          <w:color w:val="333333"/>
          <w:kern w:val="0"/>
          <w:sz w:val="32"/>
          <w:szCs w:val="32"/>
        </w:rPr>
      </w:pPr>
      <w:r>
        <w:rPr>
          <w:rFonts w:hint="eastAsia" w:ascii="方正仿宋_GBK" w:hAnsi="方正仿宋_GBK" w:eastAsia="方正仿宋_GBK" w:cs="方正仿宋_GBK"/>
          <w:b/>
          <w:color w:val="333333"/>
          <w:kern w:val="0"/>
          <w:sz w:val="32"/>
          <w:szCs w:val="32"/>
        </w:rPr>
        <w:t>二、机构设置</w:t>
      </w:r>
    </w:p>
    <w:p w14:paraId="1F374817">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南榆林乡核定行政编制20名.领导职数10名,其中:党委书记1名、乡长1名（兼任党委副书记)、人大主席1名、党委副书记2名（1名兼任乡长,1名副书记).纪委书记1名、组宣委员1名、武装部长1名、副乡长3名.党委书记、乡长、人大主席均为正科级,其他均为副科级,党委委员和纪委委员按相关规定执行。浑源县南榆林乡党群服务中心为公益一类事业单位,规格为副科级,核定财政拨款事业编制6名,设主任1名。浑源县南榆林乡综合便民服务中心为公益一类事业单位,规格为副科级,核定财政拨款事业编制25名。设主任1名,浑源县南榆林乡退役军人服务保障工作站为公益-类事业</w:t>
      </w:r>
      <w:r>
        <w:rPr>
          <w:rFonts w:hint="eastAsia" w:ascii="方正仿宋_GBK" w:hAnsi="方正仿宋_GBK" w:eastAsia="方正仿宋_GBK" w:cs="方正仿宋_GBK"/>
          <w:sz w:val="32"/>
          <w:szCs w:val="32"/>
          <w:lang w:eastAsia="zh-CN"/>
        </w:rPr>
        <w:t>单位</w:t>
      </w:r>
      <w:bookmarkStart w:id="0" w:name="_GoBack"/>
      <w:bookmarkEnd w:id="0"/>
      <w:r>
        <w:rPr>
          <w:rFonts w:hint="eastAsia" w:ascii="方正仿宋_GBK" w:hAnsi="方正仿宋_GBK" w:eastAsia="方正仿宋_GBK" w:cs="方正仿宋_GBK"/>
          <w:sz w:val="32"/>
          <w:szCs w:val="32"/>
        </w:rPr>
        <w:t>,规格为副科级,核定财政拨款事业编制4名。设站长1名。</w:t>
      </w:r>
    </w:p>
    <w:p w14:paraId="18AB5A8A">
      <w:pPr>
        <w:rPr>
          <w:rFonts w:hint="eastAsia" w:ascii="方正仿宋_GBK" w:hAnsi="方正仿宋_GBK" w:eastAsia="方正仿宋_GBK" w:cs="方正仿宋_GBK"/>
          <w:b/>
          <w:color w:val="333333"/>
          <w:kern w:val="0"/>
          <w:sz w:val="32"/>
          <w:szCs w:val="32"/>
        </w:rPr>
      </w:pPr>
      <w:r>
        <w:rPr>
          <w:rFonts w:hint="eastAsia" w:ascii="方正仿宋_GBK" w:hAnsi="方正仿宋_GBK" w:eastAsia="方正仿宋_GBK" w:cs="方正仿宋_GBK"/>
          <w:b/>
          <w:color w:val="333333"/>
          <w:kern w:val="0"/>
          <w:sz w:val="32"/>
          <w:szCs w:val="32"/>
        </w:rPr>
        <w:t>行政</w:t>
      </w:r>
      <w:r>
        <w:rPr>
          <w:rFonts w:hint="eastAsia" w:ascii="方正仿宋_GBK" w:hAnsi="方正仿宋_GBK" w:eastAsia="方正仿宋_GBK" w:cs="方正仿宋_GBK"/>
          <w:b/>
          <w:color w:val="333333"/>
          <w:kern w:val="0"/>
          <w:sz w:val="32"/>
          <w:szCs w:val="32"/>
          <w:lang w:eastAsia="zh-CN"/>
        </w:rPr>
        <w:t>机构</w:t>
      </w:r>
      <w:r>
        <w:rPr>
          <w:rFonts w:hint="eastAsia" w:ascii="方正仿宋_GBK" w:hAnsi="方正仿宋_GBK" w:eastAsia="方正仿宋_GBK" w:cs="方正仿宋_GBK"/>
          <w:b/>
          <w:color w:val="333333"/>
          <w:kern w:val="0"/>
          <w:sz w:val="32"/>
          <w:szCs w:val="32"/>
        </w:rPr>
        <w:t>设置</w:t>
      </w:r>
    </w:p>
    <w:p w14:paraId="5C58E776">
      <w:pPr>
        <w:ind w:firstLine="480" w:firstLineChars="15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(一）党政综合办公室</w:t>
      </w:r>
    </w:p>
    <w:p w14:paraId="2E0499C0">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负责乡党委、政府机关日常工作;负责人大、政协、武装部具体事务;负责协调纪检监察、组织、宣传、统战、机构编制、巡察、老干部和工会、团委、妇联等方面工作;负责财务、人事、保密、档案、固定资产管理和后勤服务。完成乡党委、政府和上级有关部门交办的其他任务。</w:t>
      </w:r>
    </w:p>
    <w:p w14:paraId="523D61B2">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(二）经济发展办公室</w:t>
      </w:r>
    </w:p>
    <w:p w14:paraId="26C24ADD">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负责农业、工业、第三产业发展规划的制定实旅及乡村振兴战略、区域协调发展战略的组织实施;负责协调发展和改革、科学技术、工业和信息化、财政、自然资源、村镇建设和管理、交通运输、林业、水务、农业农村、审计、统计、能源等方面工作;协调配合生态环境保护相关工作。完成乡党委、政府和上级有关部门交办的其他任务。</w:t>
      </w:r>
    </w:p>
    <w:p w14:paraId="2C55F018">
      <w:pPr>
        <w:ind w:firstLine="320" w:firstLineChars="1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（三)社会事务办公室(挂平安建设办公室牌子)</w:t>
      </w:r>
    </w:p>
    <w:p w14:paraId="5FFF67DC">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负责农村基层政权建设,指导村委会的民主选举、民主决策、民主管理和民主监督工作,指导村务公开、村账乡管等工作;负责矛盾纠纷化解、特殊人群服务管理、公共安全、风险防控、法治宣传教育,基层平安创建、网格化服务管理和群防群治等相关工作;负责应急管理、信访的综合协调工作,督促检查工作落实;负责承办乡应急管理、安全生产和防灾减灾救灾相关工作;负责教育、民政、人力资源和社会保障、文化旅游、卫生健康和体育、退役军人事务、医疗保障、行政审批服务、残疾人服务、慈善事务、红十字会事务等社会事务工作。完成乡党委、政府和上级有关部门交办的其他任务。</w:t>
      </w:r>
    </w:p>
    <w:p w14:paraId="57C560B7">
      <w:pPr>
        <w:ind w:firstLine="480" w:firstLineChars="15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（四）规划建设办公室</w:t>
      </w:r>
    </w:p>
    <w:p w14:paraId="5E36B492">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负责组织编制乡总体规划和村庄规划，根据乡总体规划的要求,组织编制乡的控制性详细规划;组织规划编制单位依法修改总体规划和修建性详细规划并依照审批程序报批;负责管理辖区内各项建筑活动和施工许可等初审工作;做好乡村供水、排水、垃圾和污水处理、燃气、园林绿化、环境卫生等建设工作。完成乡党委、政府和上级有关部门交办的其他任务。</w:t>
      </w:r>
    </w:p>
    <w:p w14:paraId="518E329D">
      <w:pPr>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(五)综合行政执法办公室</w:t>
      </w:r>
    </w:p>
    <w:p w14:paraId="08507CE4">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负责乡综合行政执法队伍的日常管理,组织开展对综合行政执法事项巡查上报、执法处置等日常执法工作;作为基层综合行政执法平台,负责统筹协调辖区内市场监管、交通运输、农业农村、文化旅游、生态环境保护、城市管理等各领域派驻执法方量、公安等派出执法机构开展联合执法工作;组织开展对区域内各类专业执法的群众监督和社会监督。完成乡党委、政府和上级有关部门交办的其他任务。</w:t>
      </w:r>
    </w:p>
    <w:p w14:paraId="70F38143">
      <w:pPr>
        <w:rPr>
          <w:rFonts w:hint="eastAsia"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事业</w:t>
      </w:r>
      <w:r>
        <w:rPr>
          <w:rFonts w:hint="eastAsia" w:ascii="方正仿宋_GBK" w:hAnsi="方正仿宋_GBK" w:eastAsia="方正仿宋_GBK" w:cs="方正仿宋_GBK"/>
          <w:b/>
          <w:sz w:val="32"/>
          <w:szCs w:val="32"/>
          <w:lang w:eastAsia="zh-CN"/>
        </w:rPr>
        <w:t>机构</w:t>
      </w:r>
      <w:r>
        <w:rPr>
          <w:rFonts w:hint="eastAsia" w:ascii="方正仿宋_GBK" w:hAnsi="方正仿宋_GBK" w:eastAsia="方正仿宋_GBK" w:cs="方正仿宋_GBK"/>
          <w:b/>
          <w:sz w:val="32"/>
          <w:szCs w:val="32"/>
        </w:rPr>
        <w:t>设置</w:t>
      </w:r>
    </w:p>
    <w:p w14:paraId="3B77F982">
      <w:pPr>
        <w:ind w:firstLine="480" w:firstLineChars="15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(一）党群服务中心</w:t>
      </w:r>
    </w:p>
    <w:p w14:paraId="61B667F5">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负责发挥服务党组织和党员群众的功能,开展宣传党的方针政策和理论知识、党务政策咨询等活动;提供党员培训活动场所,做好区域内党建活动的日常组织、协调、联络和服务工作;为村乡党组织、党员群众提供相关服务和资源保障;负责党群志愿者队伍建设和组织开展志愿服务活动。完成乡党委、政府和上级有关部门交办的其他任务。</w:t>
      </w:r>
    </w:p>
    <w:p w14:paraId="3AC0D506">
      <w:pPr>
        <w:ind w:firstLine="480" w:firstLineChars="15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(二）综合便民服务中心</w:t>
      </w:r>
    </w:p>
    <w:p w14:paraId="58C5BD61">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负责制定乡综合便民服务中心的管理制度并组织实施;结合实际设置基层来信来访、乡村建设、农业农村服务、畜牧兽医、卫生健康和体育、就业和社会保障、社会救助、户籍管理、不动产登记、法律服务等便民服务专门窗口,集中办理面向群众的行政审批和服务事项;负责进驻中心事项的公开公示,对进入中心的各窗口及其工作人员进行日常管理和监督;受理群众对窗口工作人员及便民服务工作的投诉举报;指导村(社区）便民服务站点日常工作开展。完成乡党委、政府及上级有关部门交办的其他任务。</w:t>
      </w:r>
    </w:p>
    <w:p w14:paraId="4076CD4D">
      <w:pPr>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（三）退役军人服务保障工作站</w:t>
      </w:r>
    </w:p>
    <w:p w14:paraId="6C0DDC38">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负责宣传贯彻有关退役军人法律、法规、政策;负责退役军人信访服务相关工作;负责退役军人权益保障服务工作,对退役军人提供就业指导、帮扶救助、思想教育等帮助服务;组织开展退役军人教育培训、优待抚恤等待遇保障工作;指导开展拥军优属工作,负责烈士及退役军人走访慰问、荣誉奖励以及纪念活动等;承办乡党委、政府及上级有关部门交办的其他任务。</w:t>
      </w:r>
    </w:p>
    <w:p w14:paraId="4C5F9AC2">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p>
    <w:p w14:paraId="53AFDC48">
      <w:pPr>
        <w:rPr>
          <w:rFonts w:hint="eastAsia" w:ascii="方正仿宋_GBK" w:hAnsi="方正仿宋_GBK" w:eastAsia="方正仿宋_GBK" w:cs="方正仿宋_GBK"/>
          <w:b/>
          <w:color w:val="000000" w:themeColor="text1"/>
          <w:kern w:val="0"/>
          <w:sz w:val="32"/>
          <w:szCs w:val="32"/>
          <w14:textFill>
            <w14:solidFill>
              <w14:schemeClr w14:val="tx1"/>
            </w14:solidFill>
          </w14:textFill>
        </w:rPr>
      </w:pPr>
      <w:r>
        <w:rPr>
          <w:rFonts w:hint="eastAsia" w:ascii="方正仿宋_GBK" w:hAnsi="方正仿宋_GBK" w:eastAsia="方正仿宋_GBK" w:cs="方正仿宋_GBK"/>
          <w:b/>
          <w:color w:val="000000" w:themeColor="text1"/>
          <w:kern w:val="0"/>
          <w:sz w:val="32"/>
          <w:szCs w:val="32"/>
          <w14:textFill>
            <w14:solidFill>
              <w14:schemeClr w14:val="tx1"/>
            </w14:solidFill>
          </w14:textFill>
        </w:rPr>
        <w:t>第二部分：2021年度部门决算公开报表</w:t>
      </w:r>
    </w:p>
    <w:p w14:paraId="0989A743">
      <w:pPr>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附件：大同市浑源县南榆林乡人民政府-2021年度部门决算公开报表.xls</w:t>
      </w:r>
    </w:p>
    <w:p w14:paraId="6FDDAA2E">
      <w:pPr>
        <w:rPr>
          <w:rFonts w:hint="eastAsia" w:ascii="方正仿宋_GBK" w:hAnsi="方正仿宋_GBK" w:eastAsia="方正仿宋_GBK" w:cs="方正仿宋_GBK"/>
          <w:b/>
          <w:color w:val="000000" w:themeColor="text1"/>
          <w:kern w:val="0"/>
          <w:sz w:val="32"/>
          <w:szCs w:val="32"/>
          <w14:textFill>
            <w14:solidFill>
              <w14:schemeClr w14:val="tx1"/>
            </w14:solidFill>
          </w14:textFill>
        </w:rPr>
      </w:pPr>
      <w:r>
        <w:rPr>
          <w:rFonts w:hint="eastAsia" w:ascii="方正仿宋_GBK" w:hAnsi="方正仿宋_GBK" w:eastAsia="方正仿宋_GBK" w:cs="方正仿宋_GBK"/>
          <w:b/>
          <w:color w:val="000000" w:themeColor="text1"/>
          <w:kern w:val="0"/>
          <w:sz w:val="32"/>
          <w:szCs w:val="32"/>
          <w14:textFill>
            <w14:solidFill>
              <w14:schemeClr w14:val="tx1"/>
            </w14:solidFill>
          </w14:textFill>
        </w:rPr>
        <w:t>第三部分：2021年度部门决算情况说明</w:t>
      </w:r>
    </w:p>
    <w:p w14:paraId="74715760">
      <w:pPr>
        <w:ind w:left="424"/>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一、决算收入情况</w:t>
      </w:r>
    </w:p>
    <w:p w14:paraId="26FB641B">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本单位本年度总收入为1804.99万元，上年度总收入为2230.72万元，增减-19.08 %。其中：一般公共预算财政拨款本年度收入为1605.13万元，上年度收入为2230.72万元，增减-28.04 %；政府性基金预算财政拨款本年度收入为199.86万元，上年度收入为0万元，增减0 %；事业收入本年度收入为0万元，上年度收入为0万元，增减0 %；其他收入本年度收入为0万元，上年度收入为0万元，增减0%。</w:t>
      </w:r>
    </w:p>
    <w:p w14:paraId="06CDAA45">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二、决算支出情况</w:t>
      </w:r>
    </w:p>
    <w:p w14:paraId="0A63B2DD">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本单位本年度总支出为1806.49万元，上年度总支出为2245.24万元，增减-19.54%。其中：基本支出本年度支出为430.34万元，上年度支出为382.54万元，增减12.5 %；项目支出本年度支出为1376.15万元，上年度支出为1862.7万元，增减-26.12 %。</w:t>
      </w:r>
    </w:p>
    <w:p w14:paraId="59FAF98E">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三、“三公”经费情况</w:t>
      </w:r>
    </w:p>
    <w:p w14:paraId="473B072C">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本单位本年度“三公”经费总支出为2.14万元，上年度支出为2.81万元，增减-23.91 %；其中：因公出国（境）费本年度支出0万元，上年度支出为0万元，增减0 %；公务用车购置及运行维护费支出为2.14万元，上年度支出为2.81万元，增减-23.91 %；公务接待费支出为0万元，上年度支出为0万元，增减0 %。</w:t>
      </w:r>
    </w:p>
    <w:p w14:paraId="1C0D4604">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四、机关运行经费情况</w:t>
      </w:r>
    </w:p>
    <w:p w14:paraId="7C3D5C0E">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本单位本年度机关运行经费总支出为23.62万元，上年度支出为39.71万元，增减-40.53 %；主要为日常办公费、水电、差旅、印刷、委托业务费等费用。</w:t>
      </w:r>
    </w:p>
    <w:p w14:paraId="5FB27001">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五、政府决算采购情况说明</w:t>
      </w:r>
    </w:p>
    <w:p w14:paraId="4229DA82">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本单位本年度政府采购总价为571.54万元，其中：货物采购2.74万元，工程采购568.8万元，服务采购0万元。</w:t>
      </w:r>
    </w:p>
    <w:p w14:paraId="23EBF139">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六、国有资产占有使用情况</w:t>
      </w:r>
    </w:p>
    <w:p w14:paraId="4FBD541A">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（1）房屋情况</w:t>
      </w:r>
    </w:p>
    <w:p w14:paraId="26A5ED84">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截止2021年12月31日， 我单位产权房屋面积为911.91平方米，价值76.35万元。</w:t>
      </w:r>
    </w:p>
    <w:p w14:paraId="5979D165">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（2）车辆情况</w:t>
      </w:r>
    </w:p>
    <w:p w14:paraId="6EE11932">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 xml:space="preserve"> 单位账面车辆为1辆，价值9.55万元。</w:t>
      </w:r>
    </w:p>
    <w:p w14:paraId="335F935C">
      <w:pPr>
        <w:ind w:firstLine="640" w:firstLineChars="200"/>
        <w:rPr>
          <w:rFonts w:hint="eastAsia"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七、绩效情况说明</w:t>
      </w:r>
    </w:p>
    <w:p w14:paraId="3C6EEAF6">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auto"/>
          <w:kern w:val="2"/>
          <w:sz w:val="32"/>
          <w:szCs w:val="32"/>
          <w:lang w:val="en-US" w:eastAsia="zh-CN" w:bidi="ar-SA"/>
        </w:rPr>
        <w:t>（1）预算绩效管理工作开展情况。根据预算绩效管理要求，我部门组织对2021年度财政一般预算安排的专项资金类25个项目支出全面开展</w:t>
      </w:r>
      <w:r>
        <w:rPr>
          <w:rFonts w:hint="eastAsia" w:ascii="方正仿宋_GBK" w:hAnsi="方正仿宋_GBK" w:eastAsia="方正仿宋_GBK" w:cs="方正仿宋_GBK"/>
          <w:b/>
          <w:bCs/>
          <w:color w:val="auto"/>
          <w:kern w:val="2"/>
          <w:sz w:val="32"/>
          <w:szCs w:val="32"/>
          <w:lang w:val="en-US" w:eastAsia="zh-CN" w:bidi="ar-SA"/>
        </w:rPr>
        <w:t>绩效自评</w:t>
      </w:r>
      <w:r>
        <w:rPr>
          <w:rFonts w:hint="eastAsia" w:ascii="方正仿宋_GBK" w:hAnsi="方正仿宋_GBK" w:eastAsia="方正仿宋_GBK" w:cs="方正仿宋_GBK"/>
          <w:color w:val="auto"/>
          <w:kern w:val="2"/>
          <w:sz w:val="32"/>
          <w:szCs w:val="32"/>
          <w:lang w:val="en-US" w:eastAsia="zh-CN" w:bidi="ar-SA"/>
        </w:rPr>
        <w:t>，涉及预算资金1156.74万元，占一般公共预算项目支出总额的84.06%。组织对2021年度2020年乡村振兴战略资金（二岭村乡村旅游项目）等1个政府性基金预算项目支出开展绩效自评，共涉及预算资金199.86万元，占政府性基金预算项目支出总额的100%。</w:t>
      </w:r>
    </w:p>
    <w:p w14:paraId="3B229B96">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auto"/>
          <w:kern w:val="2"/>
          <w:sz w:val="32"/>
          <w:szCs w:val="32"/>
          <w:lang w:val="en-US" w:eastAsia="zh-CN" w:bidi="ar-SA"/>
        </w:rPr>
        <w:t>（2）部门决算中项目</w:t>
      </w:r>
      <w:r>
        <w:rPr>
          <w:rFonts w:hint="eastAsia" w:ascii="方正仿宋_GBK" w:hAnsi="方正仿宋_GBK" w:eastAsia="方正仿宋_GBK" w:cs="方正仿宋_GBK"/>
          <w:b/>
          <w:bCs/>
          <w:color w:val="auto"/>
          <w:kern w:val="2"/>
          <w:sz w:val="32"/>
          <w:szCs w:val="32"/>
          <w:lang w:val="en-US" w:eastAsia="zh-CN" w:bidi="ar-SA"/>
        </w:rPr>
        <w:t>绩效自评</w:t>
      </w:r>
      <w:r>
        <w:rPr>
          <w:rFonts w:hint="eastAsia" w:ascii="方正仿宋_GBK" w:hAnsi="方正仿宋_GBK" w:eastAsia="方正仿宋_GBK" w:cs="方正仿宋_GBK"/>
          <w:color w:val="auto"/>
          <w:kern w:val="2"/>
          <w:sz w:val="32"/>
          <w:szCs w:val="32"/>
          <w:lang w:val="en-US" w:eastAsia="zh-CN" w:bidi="ar-SA"/>
        </w:rPr>
        <w:t>结果。</w:t>
      </w:r>
    </w:p>
    <w:p w14:paraId="04A38080">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auto"/>
          <w:kern w:val="2"/>
          <w:sz w:val="32"/>
          <w:szCs w:val="32"/>
          <w:lang w:val="en-US" w:eastAsia="zh-CN" w:bidi="ar-SA"/>
        </w:rPr>
        <w:t>乡村振兴战略资金（二岭村乡村旅游项目）项目绩效自评综述：根据年初设定的绩效目标，项目自评得分为94.74分。全年预算数为200万元，执行数为199.86万元，完成预算的99.93%。项目绩效目标完成情况：一是项目全部实施完成，项目预算200万元，执行199.86万元，执行率96.73%，得分9.99分，全部支付完成；二是产出指标中，数量指标得分15分，质量指标得分14.25分，时效指标得分14.25分，达到预期绩效目标；三是效益指标中，社会效益得分13.5分，经济效益得分13.5分，达到预期绩效目标；四是满意度指标得分14.25分，达到预期绩效目标。发现的主要问题及原因：一是项目绩效管理还需加强，重资金管理轻绩效管理。下一步改进措施：一是在项目实施的各个环节加强管理，做到项目立项精准，预算编制精准，资金支付及时，绩效目标合理；二是提高项目立项的精准度，在项目的各个环节紧密协作，加强项目的绩效管理。</w:t>
      </w:r>
    </w:p>
    <w:p w14:paraId="7D7F7293">
      <w:pPr>
        <w:pStyle w:val="2"/>
        <w:keepNext w:val="0"/>
        <w:keepLines w:val="0"/>
        <w:pageBreakBefore w:val="0"/>
        <w:widowControl w:val="0"/>
        <w:kinsoku/>
        <w:wordWrap/>
        <w:overflowPunct/>
        <w:topLinePunct w:val="0"/>
        <w:autoSpaceDE/>
        <w:autoSpaceDN/>
        <w:bidi w:val="0"/>
        <w:adjustRightInd/>
        <w:snapToGrid/>
        <w:ind w:firstLine="640"/>
        <w:textAlignment w:val="auto"/>
        <w:rPr>
          <w:rFonts w:hint="eastAsia"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auto"/>
          <w:kern w:val="2"/>
          <w:sz w:val="32"/>
          <w:szCs w:val="32"/>
          <w:lang w:val="en-US" w:eastAsia="zh-CN" w:bidi="ar-SA"/>
        </w:rPr>
        <w:t>2021年姜家沟村养殖场建设项目绩效自评综述：根据年初设定的绩效目标，项目自评得分为100分。全年预算数为42.8万元，执行数为42.8万元，完成预算的100%。项目绩效目标完成情况：一是项目全部实施完成，项目预算42.8万元，执行42.8万元，执行率100%，得分10分，全部支付完成；二是产出指标中，数量指标得分27分，质量指标得分4.5分，时效指标得分4.5分，成本指标得分27分，达到预期绩效目标；三是效益指标中，经济效益得分4.5，社会效益得分9分，生态效益得分4.5分，可持续指标得分4.5分，达到预期绩效目标；四是满意度指标得分4.5分，达到预期绩效目标。发现的主要问题及原因：一是项目可行性研究需加强；二是项目绩效管理还需加强，重资金管理轻绩效管理。下一步改进措施：一是在项目实施的各个环节加强管理，做到项目立项精准，预算编制精准，资金支付及时，绩效目标合理；二是提高项目立项的精准度，在项目的各个环节紧密协作，加强项目的绩效管理。</w:t>
      </w:r>
    </w:p>
    <w:p w14:paraId="0FD00B7B">
      <w:pPr>
        <w:pStyle w:val="2"/>
        <w:keepNext w:val="0"/>
        <w:keepLines w:val="0"/>
        <w:pageBreakBefore w:val="0"/>
        <w:widowControl w:val="0"/>
        <w:kinsoku/>
        <w:wordWrap/>
        <w:overflowPunct/>
        <w:topLinePunct w:val="0"/>
        <w:autoSpaceDE/>
        <w:autoSpaceDN/>
        <w:bidi w:val="0"/>
        <w:adjustRightInd/>
        <w:snapToGrid/>
        <w:ind w:firstLine="640"/>
        <w:textAlignment w:val="auto"/>
        <w:rPr>
          <w:rFonts w:hint="eastAsia"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auto"/>
          <w:kern w:val="2"/>
          <w:sz w:val="32"/>
          <w:szCs w:val="32"/>
          <w:lang w:val="en-US" w:eastAsia="zh-CN" w:bidi="ar-SA"/>
        </w:rPr>
        <w:t>农村综合改革一事一议财政奖补资金(南榆林村文化休闲长廊）项目绩效自评综述：根据年初设定的绩效目标，项目自评得分为99.1分。全年预算数为20万元，执行数为19.64万元，完成预算的98.2%。项目绩效目标完成情况：一是项目已全部完成，项目预算20万元，执行19.64万元，执行率98.2%，得分9.82分，基本达到预期目标；二是产出指标中，数量指标得分18分，质量指标得8分，时效指标得18分，全部达到预期绩效目标；三是效益指标得分18分，达到预期绩效目标；四是满意度指标得分18分，达到预期绩效指标。发现的主要问题及原因：项目绩效管理还需加强，重资金管理轻绩效管理。下一步改进措施：一是在项目实施的各个环节加强管理，做到项目立项精准，预算编制精准，资金支付及时，绩效目标合理；二是提高项目立项的精准度，在项目的各个环节紧密协作，加强项目的绩效管理。</w:t>
      </w:r>
    </w:p>
    <w:p w14:paraId="7C362C3A">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b/>
          <w:color w:val="000000" w:themeColor="text1"/>
          <w:kern w:val="0"/>
          <w:sz w:val="32"/>
          <w:szCs w:val="32"/>
          <w14:textFill>
            <w14:solidFill>
              <w14:schemeClr w14:val="tx1"/>
            </w14:solidFill>
          </w14:textFill>
        </w:rPr>
        <w:t>第四部分 部门名词解释</w:t>
      </w:r>
    </w:p>
    <w:p w14:paraId="77EF1450">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14:paraId="636ACDCB">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14:paraId="50C7A7D2">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14:paraId="4A1DECFC">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14:paraId="1EF7282D">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二、收入</w:t>
      </w:r>
    </w:p>
    <w:p w14:paraId="3CD480EF">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14:paraId="46A16762">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14:paraId="58EE65CC">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2、上级补助收入：填列事业单位从主管部门和上级单位取得的非财政补助收入。</w:t>
      </w:r>
    </w:p>
    <w:p w14:paraId="5CDFB55C">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14:paraId="565AEFB3">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14:paraId="6CBDEC0F">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5、附属单位上缴收入：填列事业单位附独立核算单位按照有关规定上缴的收入。</w:t>
      </w:r>
    </w:p>
    <w:p w14:paraId="4F705AA2">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14:paraId="0E447DA0">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14:paraId="40A03714">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三、支出</w:t>
      </w:r>
    </w:p>
    <w:p w14:paraId="0617FFE1">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1、基本支出：填列单位为保障机构正常运转、完成日常工作任务而发生的各项支出。</w:t>
      </w:r>
    </w:p>
    <w:p w14:paraId="2364128F">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14:paraId="3876C760">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3、上缴上级支出：填列事业单位按照财政部门和主管部门的规定上缴上级单位的支出。</w:t>
      </w:r>
    </w:p>
    <w:p w14:paraId="3373E29E">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14:paraId="0ADF3AF6">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14:paraId="5BFAB7C8">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14:paraId="41C962FF">
      <w:pPr>
        <w:ind w:firstLine="640" w:firstLineChars="200"/>
        <w:rPr>
          <w:rFonts w:hint="eastAsia"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四、“三公”经费：一般公共预算安排的因公出国（境）费、公务用车购置及运行费和公务接待费。</w:t>
      </w:r>
    </w:p>
    <w:p w14:paraId="69E35A9F">
      <w:pPr>
        <w:rPr>
          <w:rFonts w:hint="eastAsia" w:ascii="方正仿宋_GBK" w:hAnsi="方正仿宋_GBK" w:eastAsia="方正仿宋_GBK" w:cs="方正仿宋_GBK"/>
          <w:color w:val="000000" w:themeColor="text1"/>
          <w:sz w:val="32"/>
          <w:szCs w:val="32"/>
          <w14:textFill>
            <w14:solidFill>
              <w14:schemeClr w14:val="tx1"/>
            </w14:solidFill>
          </w14:textFill>
        </w:rPr>
      </w:pPr>
    </w:p>
    <w:p w14:paraId="5DC472BD">
      <w:pPr>
        <w:rPr>
          <w:rFonts w:hint="eastAsia" w:ascii="方正仿宋_GBK" w:hAnsi="方正仿宋_GBK" w:eastAsia="方正仿宋_GBK" w:cs="方正仿宋_GBK"/>
          <w:color w:val="000000" w:themeColor="text1"/>
          <w:sz w:val="32"/>
          <w:szCs w:val="32"/>
          <w14:textFill>
            <w14:solidFill>
              <w14:schemeClr w14:val="tx1"/>
            </w14:solidFill>
          </w14:textFill>
        </w:rPr>
      </w:pPr>
    </w:p>
    <w:p w14:paraId="61B0A09A">
      <w:pPr>
        <w:ind w:left="5120" w:hanging="5120" w:hangingChars="1600"/>
        <w:rPr>
          <w:rFonts w:hint="eastAsia" w:ascii="方正仿宋_GBK" w:hAnsi="方正仿宋_GBK" w:eastAsia="方正仿宋_GBK" w:cs="方正仿宋_GBK"/>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方正仿宋_GBK" w:hAnsi="方正仿宋_GBK" w:eastAsia="方正仿宋_GBK" w:cs="方正仿宋_GBK"/>
          <w:color w:val="000000" w:themeColor="text1"/>
          <w:sz w:val="32"/>
          <w:szCs w:val="32"/>
          <w14:textFill>
            <w14:solidFill>
              <w14:schemeClr w14:val="tx1"/>
            </w14:solidFill>
          </w14:textFill>
        </w:rPr>
        <w:t xml:space="preserve">                           浑源县南榆林乡人民政府2022年7月15日</w:t>
      </w:r>
    </w:p>
    <w:p w14:paraId="1B58F5D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altName w:val="微软雅黑"/>
    <w:panose1 w:val="03000509000000000000"/>
    <w:charset w:val="86"/>
    <w:family w:val="auto"/>
    <w:pitch w:val="default"/>
    <w:sig w:usb0="00000000" w:usb1="0000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FiZjExMzQ1NTE3MDQ4NjI5ODRhMjBlNzIyNWVhNGQifQ=="/>
  </w:docVars>
  <w:rsids>
    <w:rsidRoot w:val="00000000"/>
    <w:rsid w:val="051043E2"/>
    <w:rsid w:val="3E9850C7"/>
    <w:rsid w:val="47301AE3"/>
    <w:rsid w:val="7B552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6258</Words>
  <Characters>6626</Characters>
  <Lines>0</Lines>
  <Paragraphs>0</Paragraphs>
  <TotalTime>18</TotalTime>
  <ScaleCrop>false</ScaleCrop>
  <LinksUpToDate>false</LinksUpToDate>
  <CharactersWithSpaces>6684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2022-07-13T02:57:00Z</dcterms:created>
  <dc:creator>Administrator</dc:creator>
  <cp:lastModifiedBy>刘萍</cp:lastModifiedBy>
  <dcterms:modified xsi:type="dcterms:W3CDTF">2025-02-20T09:07:30Z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4DF7EFF51DC248B48A5CDED1082D9D95</vt:lpwstr>
  </property>
  <property fmtid="{D5CDD505-2E9C-101B-9397-08002B2CF9AE}" pid="4" name="KSOTemplateDocerSaveRecord">
    <vt:lpwstr>eyJoZGlkIjoiODM2MGQ5OTA4MzQzODIzZGFjMzUzMjljNzgyYTQ3NTMiLCJ1c2VySWQiOiIzNjcyOTAzODIifQ==</vt:lpwstr>
  </property>
</Properties>
</file>