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浑源县王庄堡镇人民政府</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第一部分：浑源县王庄堡镇人民政府概况</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pStyle w:val="5"/>
        <w:keepNext w:val="0"/>
        <w:keepLines w:val="0"/>
        <w:pageBreakBefore w:val="0"/>
        <w:widowControl/>
        <w:kinsoku/>
        <w:wordWrap/>
        <w:overflowPunct/>
        <w:topLinePunct w:val="0"/>
        <w:autoSpaceDE/>
        <w:autoSpaceDN/>
        <w:bidi w:val="0"/>
        <w:adjustRightInd/>
        <w:snapToGrid/>
        <w:spacing w:line="240" w:lineRule="auto"/>
        <w:ind w:firstLine="600"/>
        <w:textAlignment w:val="auto"/>
        <w:rPr>
          <w:rFonts w:hint="eastAsia" w:ascii="仿宋" w:hAnsi="仿宋" w:eastAsia="仿宋" w:cs="仿宋"/>
          <w:color w:val="000000" w:themeColor="text1"/>
          <w:kern w:val="0"/>
          <w:sz w:val="32"/>
          <w:szCs w:val="32"/>
          <w:lang w:val="en-US" w:eastAsia="zh-CN" w:bidi="ar-SA"/>
          <w14:textFill>
            <w14:solidFill>
              <w14:schemeClr w14:val="tx1"/>
            </w14:solidFill>
          </w14:textFill>
        </w:rPr>
      </w:pPr>
      <w:r>
        <w:rPr>
          <w:rFonts w:hint="eastAsia" w:ascii="仿宋" w:hAnsi="仿宋" w:eastAsia="仿宋" w:cs="仿宋"/>
          <w:color w:val="000000" w:themeColor="text1"/>
          <w:kern w:val="0"/>
          <w:sz w:val="32"/>
          <w:szCs w:val="32"/>
          <w:lang w:val="en-US" w:eastAsia="zh-CN" w:bidi="ar-SA"/>
          <w14:textFill>
            <w14:solidFill>
              <w14:schemeClr w14:val="tx1"/>
            </w14:solidFill>
          </w14:textFill>
        </w:rPr>
        <w:t>1、执行本级人民代表大会的决议和上级国家行政机关的决定和命令，发布决定和命令，并向同级人大主席团报告工作。</w:t>
      </w:r>
    </w:p>
    <w:p>
      <w:pPr>
        <w:pStyle w:val="5"/>
        <w:keepNext w:val="0"/>
        <w:keepLines w:val="0"/>
        <w:pageBreakBefore w:val="0"/>
        <w:widowControl/>
        <w:kinsoku/>
        <w:wordWrap/>
        <w:overflowPunct/>
        <w:topLinePunct w:val="0"/>
        <w:autoSpaceDE/>
        <w:autoSpaceDN/>
        <w:bidi w:val="0"/>
        <w:adjustRightInd/>
        <w:snapToGrid/>
        <w:spacing w:line="240" w:lineRule="auto"/>
        <w:ind w:firstLine="600"/>
        <w:textAlignment w:val="auto"/>
        <w:rPr>
          <w:rFonts w:hint="eastAsia" w:ascii="仿宋" w:hAnsi="仿宋" w:eastAsia="仿宋" w:cs="仿宋"/>
          <w:color w:val="000000" w:themeColor="text1"/>
          <w:kern w:val="0"/>
          <w:sz w:val="32"/>
          <w:szCs w:val="32"/>
          <w:lang w:val="en-US" w:eastAsia="zh-CN" w:bidi="ar-SA"/>
          <w14:textFill>
            <w14:solidFill>
              <w14:schemeClr w14:val="tx1"/>
            </w14:solidFill>
          </w14:textFill>
        </w:rPr>
      </w:pPr>
      <w:r>
        <w:rPr>
          <w:rFonts w:hint="eastAsia" w:ascii="仿宋" w:hAnsi="仿宋" w:eastAsia="仿宋" w:cs="仿宋"/>
          <w:color w:val="000000" w:themeColor="text1"/>
          <w:kern w:val="0"/>
          <w:sz w:val="32"/>
          <w:szCs w:val="32"/>
          <w:lang w:val="en-US" w:eastAsia="zh-CN" w:bidi="ar-SA"/>
          <w14:textFill>
            <w14:solidFill>
              <w14:schemeClr w14:val="tx1"/>
            </w14:solidFill>
          </w14:textFill>
        </w:rPr>
        <w:t>2、执行本级行政区域内的经济和社会发展计划、预算、管理本行政区域内的经济、教育、科学、文化、卫生、体育、交通、农业、林业、水利等事业和财政、民政、公安、司法、计划生育、安全生产等行政工作。</w:t>
      </w:r>
    </w:p>
    <w:p>
      <w:pPr>
        <w:pStyle w:val="5"/>
        <w:keepNext w:val="0"/>
        <w:keepLines w:val="0"/>
        <w:pageBreakBefore w:val="0"/>
        <w:widowControl/>
        <w:kinsoku/>
        <w:wordWrap/>
        <w:overflowPunct/>
        <w:topLinePunct w:val="0"/>
        <w:autoSpaceDE/>
        <w:autoSpaceDN/>
        <w:bidi w:val="0"/>
        <w:adjustRightInd/>
        <w:snapToGrid/>
        <w:spacing w:line="240" w:lineRule="auto"/>
        <w:ind w:firstLine="600"/>
        <w:textAlignment w:val="auto"/>
        <w:rPr>
          <w:rFonts w:hint="eastAsia" w:ascii="仿宋" w:hAnsi="仿宋" w:eastAsia="仿宋" w:cs="仿宋"/>
          <w:color w:val="000000" w:themeColor="text1"/>
          <w:kern w:val="0"/>
          <w:sz w:val="32"/>
          <w:szCs w:val="32"/>
          <w:lang w:val="en-US" w:eastAsia="zh-CN" w:bidi="ar-SA"/>
          <w14:textFill>
            <w14:solidFill>
              <w14:schemeClr w14:val="tx1"/>
            </w14:solidFill>
          </w14:textFill>
        </w:rPr>
      </w:pPr>
      <w:r>
        <w:rPr>
          <w:rFonts w:hint="eastAsia" w:ascii="仿宋" w:hAnsi="仿宋" w:eastAsia="仿宋" w:cs="仿宋"/>
          <w:color w:val="000000" w:themeColor="text1"/>
          <w:kern w:val="0"/>
          <w:sz w:val="32"/>
          <w:szCs w:val="32"/>
          <w:lang w:val="en-US" w:eastAsia="zh-CN" w:bidi="ar-SA"/>
          <w14:textFill>
            <w14:solidFill>
              <w14:schemeClr w14:val="tx1"/>
            </w14:solidFill>
          </w14:textFill>
        </w:rPr>
        <w:t>3、综合开发、利用、保护区域内各种资源；发展乡镇企业；加强基础设施建设和重点工程建设。</w:t>
      </w:r>
    </w:p>
    <w:p>
      <w:pPr>
        <w:pStyle w:val="5"/>
        <w:keepNext w:val="0"/>
        <w:keepLines w:val="0"/>
        <w:pageBreakBefore w:val="0"/>
        <w:widowControl/>
        <w:kinsoku/>
        <w:wordWrap/>
        <w:overflowPunct/>
        <w:topLinePunct w:val="0"/>
        <w:autoSpaceDE/>
        <w:autoSpaceDN/>
        <w:bidi w:val="0"/>
        <w:adjustRightInd/>
        <w:snapToGrid/>
        <w:spacing w:line="240" w:lineRule="auto"/>
        <w:ind w:firstLine="600"/>
        <w:textAlignment w:val="auto"/>
        <w:rPr>
          <w:rFonts w:hint="eastAsia" w:ascii="仿宋" w:hAnsi="仿宋" w:eastAsia="仿宋" w:cs="仿宋"/>
          <w:color w:val="000000" w:themeColor="text1"/>
          <w:kern w:val="0"/>
          <w:sz w:val="32"/>
          <w:szCs w:val="32"/>
          <w:lang w:val="en-US" w:eastAsia="zh-CN" w:bidi="ar-SA"/>
          <w14:textFill>
            <w14:solidFill>
              <w14:schemeClr w14:val="tx1"/>
            </w14:solidFill>
          </w14:textFill>
        </w:rPr>
      </w:pPr>
      <w:r>
        <w:rPr>
          <w:rFonts w:hint="eastAsia" w:ascii="仿宋" w:hAnsi="仿宋" w:eastAsia="仿宋" w:cs="仿宋"/>
          <w:color w:val="000000" w:themeColor="text1"/>
          <w:kern w:val="0"/>
          <w:sz w:val="32"/>
          <w:szCs w:val="32"/>
          <w:lang w:val="en-US" w:eastAsia="zh-CN" w:bidi="ar-SA"/>
          <w14:textFill>
            <w14:solidFill>
              <w14:schemeClr w14:val="tx1"/>
            </w14:solidFill>
          </w14:textFill>
        </w:rPr>
        <w:t>4、保护社会主义的全民所有的财产和劳动群众集体所有的财产，保护公民私人所有的合法财产，维护社会秩序，保障公民的人身权利、民主权利和其他权利。</w:t>
      </w:r>
    </w:p>
    <w:p>
      <w:pPr>
        <w:pStyle w:val="5"/>
        <w:keepNext w:val="0"/>
        <w:keepLines w:val="0"/>
        <w:pageBreakBefore w:val="0"/>
        <w:widowControl/>
        <w:kinsoku/>
        <w:wordWrap/>
        <w:overflowPunct/>
        <w:topLinePunct w:val="0"/>
        <w:autoSpaceDE/>
        <w:autoSpaceDN/>
        <w:bidi w:val="0"/>
        <w:adjustRightInd/>
        <w:snapToGrid/>
        <w:spacing w:line="240" w:lineRule="auto"/>
        <w:ind w:firstLine="600"/>
        <w:textAlignment w:val="auto"/>
        <w:rPr>
          <w:rFonts w:hint="eastAsia" w:ascii="仿宋" w:hAnsi="仿宋" w:eastAsia="仿宋" w:cs="仿宋"/>
          <w:color w:val="000000" w:themeColor="text1"/>
          <w:kern w:val="0"/>
          <w:sz w:val="32"/>
          <w:szCs w:val="32"/>
          <w:lang w:val="en-US" w:eastAsia="zh-CN" w:bidi="ar-SA"/>
          <w14:textFill>
            <w14:solidFill>
              <w14:schemeClr w14:val="tx1"/>
            </w14:solidFill>
          </w14:textFill>
        </w:rPr>
      </w:pPr>
      <w:r>
        <w:rPr>
          <w:rFonts w:hint="eastAsia" w:ascii="仿宋" w:hAnsi="仿宋" w:eastAsia="仿宋" w:cs="仿宋"/>
          <w:color w:val="000000" w:themeColor="text1"/>
          <w:kern w:val="0"/>
          <w:sz w:val="32"/>
          <w:szCs w:val="32"/>
          <w:lang w:val="en-US" w:eastAsia="zh-CN" w:bidi="ar-SA"/>
          <w14:textFill>
            <w14:solidFill>
              <w14:schemeClr w14:val="tx1"/>
            </w14:solidFill>
          </w14:textFill>
        </w:rPr>
        <w:t>5、保护各种经济组织的合法权益。</w:t>
      </w:r>
    </w:p>
    <w:p>
      <w:pPr>
        <w:pStyle w:val="5"/>
        <w:keepNext w:val="0"/>
        <w:keepLines w:val="0"/>
        <w:pageBreakBefore w:val="0"/>
        <w:widowControl/>
        <w:kinsoku/>
        <w:wordWrap/>
        <w:overflowPunct/>
        <w:topLinePunct w:val="0"/>
        <w:autoSpaceDE/>
        <w:autoSpaceDN/>
        <w:bidi w:val="0"/>
        <w:adjustRightInd/>
        <w:snapToGrid/>
        <w:spacing w:line="240" w:lineRule="auto"/>
        <w:ind w:firstLine="600"/>
        <w:textAlignment w:val="auto"/>
        <w:rPr>
          <w:rFonts w:hint="eastAsia" w:ascii="仿宋" w:hAnsi="仿宋" w:eastAsia="仿宋" w:cs="仿宋"/>
          <w:color w:val="000000" w:themeColor="text1"/>
          <w:kern w:val="0"/>
          <w:sz w:val="32"/>
          <w:szCs w:val="32"/>
          <w:lang w:val="en-US" w:eastAsia="zh-CN" w:bidi="ar-SA"/>
          <w14:textFill>
            <w14:solidFill>
              <w14:schemeClr w14:val="tx1"/>
            </w14:solidFill>
          </w14:textFill>
        </w:rPr>
      </w:pPr>
      <w:r>
        <w:rPr>
          <w:rFonts w:hint="eastAsia" w:ascii="仿宋" w:hAnsi="仿宋" w:eastAsia="仿宋" w:cs="仿宋"/>
          <w:color w:val="000000" w:themeColor="text1"/>
          <w:kern w:val="0"/>
          <w:sz w:val="32"/>
          <w:szCs w:val="32"/>
          <w:lang w:val="en-US" w:eastAsia="zh-CN" w:bidi="ar-SA"/>
          <w14:textFill>
            <w14:solidFill>
              <w14:schemeClr w14:val="tx1"/>
            </w14:solidFill>
          </w14:textFill>
        </w:rPr>
        <w:t>6、保障少数民族的权利和尊重少数民族的风俗习惯。</w:t>
      </w:r>
    </w:p>
    <w:p>
      <w:pPr>
        <w:pStyle w:val="5"/>
        <w:keepNext w:val="0"/>
        <w:keepLines w:val="0"/>
        <w:pageBreakBefore w:val="0"/>
        <w:widowControl/>
        <w:kinsoku/>
        <w:wordWrap/>
        <w:overflowPunct/>
        <w:topLinePunct w:val="0"/>
        <w:autoSpaceDE/>
        <w:autoSpaceDN/>
        <w:bidi w:val="0"/>
        <w:adjustRightInd/>
        <w:snapToGrid/>
        <w:spacing w:line="240" w:lineRule="auto"/>
        <w:ind w:firstLine="600"/>
        <w:textAlignment w:val="auto"/>
        <w:rPr>
          <w:rFonts w:hint="eastAsia" w:ascii="仿宋" w:hAnsi="仿宋" w:eastAsia="仿宋" w:cs="仿宋"/>
          <w:color w:val="000000" w:themeColor="text1"/>
          <w:kern w:val="0"/>
          <w:sz w:val="32"/>
          <w:szCs w:val="32"/>
          <w:lang w:val="en-US" w:eastAsia="zh-CN" w:bidi="ar-SA"/>
          <w14:textFill>
            <w14:solidFill>
              <w14:schemeClr w14:val="tx1"/>
            </w14:solidFill>
          </w14:textFill>
        </w:rPr>
      </w:pPr>
      <w:r>
        <w:rPr>
          <w:rFonts w:hint="eastAsia" w:ascii="仿宋" w:hAnsi="仿宋" w:eastAsia="仿宋" w:cs="仿宋"/>
          <w:color w:val="000000" w:themeColor="text1"/>
          <w:kern w:val="0"/>
          <w:sz w:val="32"/>
          <w:szCs w:val="32"/>
          <w:lang w:val="en-US" w:eastAsia="zh-CN" w:bidi="ar-SA"/>
          <w14:textFill>
            <w14:solidFill>
              <w14:schemeClr w14:val="tx1"/>
            </w14:solidFill>
          </w14:textFill>
        </w:rPr>
        <w:t>7、保障宪法和法律赋予妇女的男女平等、同工同酬和婚姻自由等各项权利。</w:t>
      </w:r>
    </w:p>
    <w:p>
      <w:pPr>
        <w:pStyle w:val="5"/>
        <w:keepNext w:val="0"/>
        <w:keepLines w:val="0"/>
        <w:pageBreakBefore w:val="0"/>
        <w:widowControl/>
        <w:kinsoku/>
        <w:wordWrap/>
        <w:overflowPunct/>
        <w:topLinePunct w:val="0"/>
        <w:autoSpaceDE/>
        <w:autoSpaceDN/>
        <w:bidi w:val="0"/>
        <w:adjustRightInd/>
        <w:snapToGrid/>
        <w:spacing w:line="240" w:lineRule="auto"/>
        <w:ind w:firstLine="600"/>
        <w:textAlignment w:val="auto"/>
        <w:rPr>
          <w:rFonts w:hint="eastAsia" w:ascii="仿宋" w:hAnsi="仿宋" w:eastAsia="仿宋" w:cs="仿宋"/>
          <w:color w:val="000000" w:themeColor="text1"/>
          <w:kern w:val="0"/>
          <w:sz w:val="32"/>
          <w:szCs w:val="32"/>
          <w:lang w:val="en-US" w:eastAsia="zh-CN" w:bidi="ar-SA"/>
          <w14:textFill>
            <w14:solidFill>
              <w14:schemeClr w14:val="tx1"/>
            </w14:solidFill>
          </w14:textFill>
        </w:rPr>
      </w:pPr>
      <w:r>
        <w:rPr>
          <w:rFonts w:hint="eastAsia" w:ascii="仿宋" w:hAnsi="仿宋" w:eastAsia="仿宋" w:cs="仿宋"/>
          <w:color w:val="000000" w:themeColor="text1"/>
          <w:kern w:val="0"/>
          <w:sz w:val="32"/>
          <w:szCs w:val="32"/>
          <w:lang w:val="en-US" w:eastAsia="zh-CN" w:bidi="ar-SA"/>
          <w14:textFill>
            <w14:solidFill>
              <w14:schemeClr w14:val="tx1"/>
            </w14:solidFill>
          </w14:textFill>
        </w:rPr>
        <w:t>8、根据村民委员会组织法的规定，指导村民委员会工作。</w:t>
      </w:r>
    </w:p>
    <w:p>
      <w:pPr>
        <w:pStyle w:val="6"/>
        <w:keepNext w:val="0"/>
        <w:keepLines w:val="0"/>
        <w:pageBreakBefore w:val="0"/>
        <w:widowControl/>
        <w:kinsoku/>
        <w:wordWrap/>
        <w:overflowPunct/>
        <w:topLinePunct w:val="0"/>
        <w:autoSpaceDE/>
        <w:autoSpaceDN/>
        <w:bidi w:val="0"/>
        <w:adjustRightInd/>
        <w:snapToGrid/>
        <w:spacing w:line="240" w:lineRule="auto"/>
        <w:ind w:firstLine="600"/>
        <w:jc w:val="both"/>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bidi="ar-SA"/>
          <w14:textFill>
            <w14:solidFill>
              <w14:schemeClr w14:val="tx1"/>
            </w14:solidFill>
          </w14:textFill>
        </w:rPr>
        <w:t>9、承办县人民政府交办的其它事项</w:t>
      </w:r>
    </w:p>
    <w:p>
      <w:pPr>
        <w:numPr>
          <w:ilvl w:val="0"/>
          <w:numId w:val="1"/>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ind w:firstLine="640" w:firstLineChars="2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机构设置分为党政机构设置和事业单位设置两部分，党政机构设置分为：（一）党政综合办公室、（二）经济发展办公室、（三）社会事务办公室、（四）规划建设办公室、（五）综合行政执法办公室；事业单位设置分为：（一）党政服务中心（二）综合便民服务中心（三）退役军人服务保障工作站</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附件：大同市浑源县王庄堡镇人民政府-2021年度部门决算公开报表.xls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1537.46万元，上年度总收入为7042.28万元，增减-78.17 %。其中：一般公共预算财政拨款本年度收入为1537.46万元，上年度收入为5042.28万元，增减-69.51 %；政府性基金预算财政拨款本年度收入为0万元，上年度收入为2000万元，增减-100 %；事业收入本年度收入为0万元，上年度收入为0万元，增减0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1537.46万元，上年度总支出为7577.16万元，增减-79.71%。其中：基本支出本年度支出为439.06万元，上年度支出为416.33万元，增减5.46 %；项目支出本年度支出为1098.4万元，上年度支出为7160.83万元，增减-84.66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2.92万元，上年度支出为0.82万元，增减257.84 %；其中：因公出国（境）费本年度支出0万元，上年度支出为0万元，增减0 %；公务用车购置及运行维护费支出为2.92万元，上年度支出为0.82万元，增减257.84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本单位本年度机关运行经费总支出为24.97万元，上年度支出为40.74万元，增减-38.72 %；主要为日常办公费、水电、差旅、印刷、委托业务费等费用。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我单位产权房屋面积为1100平方米，价值17万元。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单位账面车辆为1辆，价值5万元。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sz w:val="32"/>
          <w:szCs w:val="32"/>
        </w:rPr>
        <w:t>（</w:t>
      </w:r>
      <w:r>
        <w:rPr>
          <w:rFonts w:hint="eastAsia" w:ascii="仿宋" w:hAnsi="仿宋" w:eastAsia="仿宋" w:cs="仿宋"/>
          <w:color w:val="000000" w:themeColor="text1"/>
          <w:kern w:val="0"/>
          <w:sz w:val="32"/>
          <w:szCs w:val="32"/>
          <w14:textFill>
            <w14:solidFill>
              <w14:schemeClr w14:val="tx1"/>
            </w14:solidFill>
          </w14:textFill>
        </w:rPr>
        <w:t>1）预算绩效管理工作开展情况。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根据预算绩效管理要求，我部门组织对2021年度县级财政预算安排的专项资金类</w:t>
      </w:r>
      <w:r>
        <w:rPr>
          <w:rFonts w:hint="eastAsia" w:ascii="仿宋" w:hAnsi="仿宋" w:eastAsia="仿宋" w:cs="仿宋"/>
          <w:color w:val="000000" w:themeColor="text1"/>
          <w:kern w:val="0"/>
          <w:sz w:val="32"/>
          <w:szCs w:val="32"/>
          <w:lang w:val="en-US" w:eastAsia="zh-CN"/>
          <w14:textFill>
            <w14:solidFill>
              <w14:schemeClr w14:val="tx1"/>
            </w14:solidFill>
          </w14:textFill>
        </w:rPr>
        <w:t>3</w:t>
      </w:r>
      <w:r>
        <w:rPr>
          <w:rFonts w:hint="eastAsia" w:ascii="仿宋" w:hAnsi="仿宋" w:eastAsia="仿宋" w:cs="仿宋"/>
          <w:color w:val="000000" w:themeColor="text1"/>
          <w:kern w:val="0"/>
          <w:sz w:val="32"/>
          <w:szCs w:val="32"/>
          <w14:textFill>
            <w14:solidFill>
              <w14:schemeClr w14:val="tx1"/>
            </w14:solidFill>
          </w14:textFill>
        </w:rPr>
        <w:t>个项目支出全面开展绩效自评，涉及预算资金</w:t>
      </w:r>
      <w:r>
        <w:rPr>
          <w:rFonts w:hint="eastAsia" w:ascii="仿宋" w:hAnsi="仿宋" w:eastAsia="仿宋" w:cs="仿宋"/>
          <w:color w:val="000000" w:themeColor="text1"/>
          <w:kern w:val="0"/>
          <w:sz w:val="32"/>
          <w:szCs w:val="32"/>
          <w:lang w:val="en-US" w:eastAsia="zh-CN"/>
          <w14:textFill>
            <w14:solidFill>
              <w14:schemeClr w14:val="tx1"/>
            </w14:solidFill>
          </w14:textFill>
        </w:rPr>
        <w:t>213.41</w:t>
      </w:r>
      <w:r>
        <w:rPr>
          <w:rFonts w:hint="eastAsia" w:ascii="仿宋" w:hAnsi="仿宋" w:eastAsia="仿宋" w:cs="仿宋"/>
          <w:color w:val="000000" w:themeColor="text1"/>
          <w:kern w:val="0"/>
          <w:sz w:val="32"/>
          <w:szCs w:val="32"/>
          <w14:textFill>
            <w14:solidFill>
              <w14:schemeClr w14:val="tx1"/>
            </w14:solidFill>
          </w14:textFill>
        </w:rPr>
        <w:t>万元，占一般公共预算项目支出总额的</w:t>
      </w:r>
      <w:r>
        <w:rPr>
          <w:rFonts w:hint="eastAsia" w:ascii="仿宋" w:hAnsi="仿宋" w:eastAsia="仿宋" w:cs="仿宋"/>
          <w:color w:val="000000" w:themeColor="text1"/>
          <w:kern w:val="0"/>
          <w:sz w:val="32"/>
          <w:szCs w:val="32"/>
          <w:lang w:val="en-US" w:eastAsia="zh-CN"/>
          <w14:textFill>
            <w14:solidFill>
              <w14:schemeClr w14:val="tx1"/>
            </w14:solidFill>
          </w14:textFill>
        </w:rPr>
        <w:t>19.43</w:t>
      </w:r>
      <w:r>
        <w:rPr>
          <w:rFonts w:hint="eastAsia" w:ascii="仿宋" w:hAnsi="仿宋" w:eastAsia="仿宋" w:cs="仿宋"/>
          <w:color w:val="000000" w:themeColor="text1"/>
          <w:kern w:val="0"/>
          <w:sz w:val="32"/>
          <w:szCs w:val="32"/>
          <w14:textFill>
            <w14:solidFill>
              <w14:schemeClr w14:val="tx1"/>
            </w14:solidFill>
          </w14:textFill>
        </w:rPr>
        <w:t>%。</w:t>
      </w:r>
      <w:r>
        <w:rPr>
          <w:rFonts w:hint="eastAsia" w:ascii="仿宋" w:hAnsi="仿宋" w:eastAsia="仿宋" w:cs="仿宋"/>
          <w:color w:val="000000" w:themeColor="text1"/>
          <w:kern w:val="0"/>
          <w:sz w:val="32"/>
          <w:szCs w:val="32"/>
          <w:lang w:eastAsia="zh-CN"/>
          <w14:textFill>
            <w14:solidFill>
              <w14:schemeClr w14:val="tx1"/>
            </w14:solidFill>
          </w14:textFill>
        </w:rPr>
        <w:t>分别为</w:t>
      </w:r>
      <w:r>
        <w:rPr>
          <w:rFonts w:hint="eastAsia" w:ascii="仿宋" w:hAnsi="仿宋" w:eastAsia="仿宋" w:cs="仿宋"/>
          <w:color w:val="000000" w:themeColor="text1"/>
          <w:kern w:val="0"/>
          <w:sz w:val="32"/>
          <w:szCs w:val="32"/>
          <w14:textFill>
            <w14:solidFill>
              <w14:schemeClr w14:val="tx1"/>
            </w14:solidFill>
          </w14:textFill>
        </w:rPr>
        <w:t>2021年王庄堡镇经济作物及特色种植</w:t>
      </w:r>
      <w:r>
        <w:rPr>
          <w:rFonts w:hint="eastAsia" w:ascii="仿宋" w:hAnsi="仿宋" w:eastAsia="仿宋" w:cs="仿宋"/>
          <w:color w:val="000000" w:themeColor="text1"/>
          <w:kern w:val="0"/>
          <w:sz w:val="32"/>
          <w:szCs w:val="32"/>
          <w:lang w:eastAsia="zh-CN"/>
          <w14:textFill>
            <w14:solidFill>
              <w14:schemeClr w14:val="tx1"/>
            </w14:solidFill>
          </w14:textFill>
        </w:rPr>
        <w:t>项目</w:t>
      </w:r>
      <w:r>
        <w:rPr>
          <w:rFonts w:hint="eastAsia" w:ascii="仿宋" w:hAnsi="仿宋" w:eastAsia="仿宋" w:cs="仿宋"/>
          <w:color w:val="000000" w:themeColor="text1"/>
          <w:kern w:val="0"/>
          <w:sz w:val="32"/>
          <w:szCs w:val="32"/>
          <w14:textFill>
            <w14:solidFill>
              <w14:schemeClr w14:val="tx1"/>
            </w14:solidFill>
          </w14:textFill>
        </w:rPr>
        <w:t>、2021年王庄堡镇中小药材种植补贴项目</w:t>
      </w:r>
      <w:r>
        <w:rPr>
          <w:rFonts w:hint="eastAsia" w:ascii="仿宋" w:hAnsi="仿宋" w:eastAsia="仿宋" w:cs="仿宋"/>
          <w:color w:val="000000" w:themeColor="text1"/>
          <w:kern w:val="0"/>
          <w:sz w:val="32"/>
          <w:szCs w:val="32"/>
          <w:lang w:eastAsia="zh-CN"/>
          <w14:textFill>
            <w14:solidFill>
              <w14:schemeClr w14:val="tx1"/>
            </w14:solidFill>
          </w14:textFill>
        </w:rPr>
        <w:t>、2021年王庄堡镇小杂粮补贴项目</w:t>
      </w:r>
      <w:r>
        <w:rPr>
          <w:rFonts w:hint="eastAsia" w:ascii="仿宋" w:hAnsi="仿宋" w:eastAsia="仿宋" w:cs="仿宋"/>
          <w:color w:val="000000" w:themeColor="text1"/>
          <w:kern w:val="0"/>
          <w:sz w:val="32"/>
          <w:szCs w:val="32"/>
          <w14:textFill>
            <w14:solidFill>
              <w14:schemeClr w14:val="tx1"/>
            </w14:solidFill>
          </w14:textFill>
        </w:rPr>
        <w:t>等</w:t>
      </w:r>
      <w:r>
        <w:rPr>
          <w:rFonts w:hint="eastAsia" w:ascii="仿宋" w:hAnsi="仿宋" w:eastAsia="仿宋" w:cs="仿宋"/>
          <w:color w:val="000000" w:themeColor="text1"/>
          <w:kern w:val="0"/>
          <w:sz w:val="32"/>
          <w:szCs w:val="32"/>
          <w:lang w:val="en-US" w:eastAsia="zh-CN"/>
          <w14:textFill>
            <w14:solidFill>
              <w14:schemeClr w14:val="tx1"/>
            </w14:solidFill>
          </w14:textFill>
        </w:rPr>
        <w:t>3</w:t>
      </w:r>
      <w:r>
        <w:rPr>
          <w:rFonts w:hint="eastAsia" w:ascii="仿宋" w:hAnsi="仿宋" w:eastAsia="仿宋" w:cs="仿宋"/>
          <w:color w:val="000000" w:themeColor="text1"/>
          <w:kern w:val="0"/>
          <w:sz w:val="32"/>
          <w:szCs w:val="32"/>
          <w14:textFill>
            <w14:solidFill>
              <w14:schemeClr w14:val="tx1"/>
            </w14:solidFill>
          </w14:textFill>
        </w:rPr>
        <w:t>个县级财政预算安排的专项资金类</w:t>
      </w:r>
      <w:r>
        <w:rPr>
          <w:rFonts w:hint="eastAsia" w:ascii="仿宋" w:hAnsi="仿宋" w:eastAsia="仿宋" w:cs="仿宋"/>
          <w:color w:val="000000" w:themeColor="text1"/>
          <w:kern w:val="0"/>
          <w:sz w:val="32"/>
          <w:szCs w:val="32"/>
          <w:lang w:eastAsia="zh-CN"/>
          <w14:textFill>
            <w14:solidFill>
              <w14:schemeClr w14:val="tx1"/>
            </w14:solidFill>
          </w14:textFill>
        </w:rPr>
        <w:t>项目，我部门无</w:t>
      </w:r>
      <w:r>
        <w:rPr>
          <w:rFonts w:hint="eastAsia" w:ascii="仿宋" w:hAnsi="仿宋" w:eastAsia="仿宋" w:cs="仿宋"/>
          <w:color w:val="000000" w:themeColor="text1"/>
          <w:kern w:val="0"/>
          <w:sz w:val="32"/>
          <w:szCs w:val="32"/>
          <w14:textFill>
            <w14:solidFill>
              <w14:schemeClr w14:val="tx1"/>
            </w14:solidFill>
          </w14:textFill>
        </w:rPr>
        <w:t>政府性基金预算项目支出</w:t>
      </w:r>
      <w:r>
        <w:rPr>
          <w:rFonts w:hint="eastAsia" w:ascii="仿宋" w:hAnsi="仿宋" w:eastAsia="仿宋" w:cs="仿宋"/>
          <w:color w:val="000000" w:themeColor="text1"/>
          <w:kern w:val="0"/>
          <w:sz w:val="32"/>
          <w:szCs w:val="32"/>
          <w:lang w:eastAsia="zh-CN"/>
          <w14:textFill>
            <w14:solidFill>
              <w14:schemeClr w14:val="tx1"/>
            </w14:solidFill>
          </w14:textFill>
        </w:rPr>
        <w:t>，不对其</w:t>
      </w:r>
      <w:r>
        <w:rPr>
          <w:rFonts w:hint="eastAsia" w:ascii="仿宋" w:hAnsi="仿宋" w:eastAsia="仿宋" w:cs="仿宋"/>
          <w:color w:val="000000" w:themeColor="text1"/>
          <w:kern w:val="0"/>
          <w:sz w:val="32"/>
          <w:szCs w:val="32"/>
          <w14:textFill>
            <w14:solidFill>
              <w14:schemeClr w14:val="tx1"/>
            </w14:solidFill>
          </w14:textFill>
        </w:rPr>
        <w:t>开展绩效自评</w:t>
      </w:r>
      <w:r>
        <w:rPr>
          <w:rFonts w:hint="eastAsia" w:ascii="仿宋" w:hAnsi="仿宋" w:eastAsia="仿宋" w:cs="仿宋"/>
          <w:color w:val="000000" w:themeColor="text1"/>
          <w:kern w:val="0"/>
          <w:sz w:val="32"/>
          <w:szCs w:val="32"/>
          <w:lang w:eastAsia="zh-CN"/>
          <w14:textFill>
            <w14:solidFill>
              <w14:schemeClr w14:val="tx1"/>
            </w14:solidFill>
          </w14:textFill>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（2）部门决算中项目绩效自评结果</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2021年王庄堡镇经济作物及特色种植项目绩效自评综述：根据年初设定的绩效目标，项目自评得分为</w:t>
      </w:r>
      <w:r>
        <w:rPr>
          <w:rFonts w:hint="eastAsia" w:ascii="仿宋" w:hAnsi="仿宋" w:eastAsia="仿宋" w:cs="仿宋"/>
          <w:color w:val="000000" w:themeColor="text1"/>
          <w:kern w:val="0"/>
          <w:sz w:val="32"/>
          <w:szCs w:val="32"/>
          <w:lang w:val="en-US" w:eastAsia="zh-CN"/>
          <w14:textFill>
            <w14:solidFill>
              <w14:schemeClr w14:val="tx1"/>
            </w14:solidFill>
          </w14:textFill>
        </w:rPr>
        <w:t>100</w:t>
      </w:r>
      <w:r>
        <w:rPr>
          <w:rFonts w:hint="eastAsia" w:ascii="仿宋" w:hAnsi="仿宋" w:eastAsia="仿宋" w:cs="仿宋"/>
          <w:color w:val="000000" w:themeColor="text1"/>
          <w:kern w:val="0"/>
          <w:sz w:val="32"/>
          <w:szCs w:val="32"/>
          <w14:textFill>
            <w14:solidFill>
              <w14:schemeClr w14:val="tx1"/>
            </w14:solidFill>
          </w14:textFill>
        </w:rPr>
        <w:t>分。全年预算数为</w:t>
      </w:r>
      <w:r>
        <w:rPr>
          <w:rFonts w:hint="eastAsia" w:ascii="仿宋" w:hAnsi="仿宋" w:eastAsia="仿宋" w:cs="仿宋"/>
          <w:color w:val="000000" w:themeColor="text1"/>
          <w:kern w:val="0"/>
          <w:sz w:val="32"/>
          <w:szCs w:val="32"/>
          <w:lang w:val="en-US" w:eastAsia="zh-CN"/>
          <w14:textFill>
            <w14:solidFill>
              <w14:schemeClr w14:val="tx1"/>
            </w14:solidFill>
          </w14:textFill>
        </w:rPr>
        <w:t>46.15</w:t>
      </w:r>
      <w:r>
        <w:rPr>
          <w:rFonts w:hint="eastAsia" w:ascii="仿宋" w:hAnsi="仿宋" w:eastAsia="仿宋" w:cs="仿宋"/>
          <w:color w:val="000000" w:themeColor="text1"/>
          <w:kern w:val="0"/>
          <w:sz w:val="32"/>
          <w:szCs w:val="32"/>
          <w14:textFill>
            <w14:solidFill>
              <w14:schemeClr w14:val="tx1"/>
            </w14:solidFill>
          </w14:textFill>
        </w:rPr>
        <w:t>万元，执行数为</w:t>
      </w:r>
      <w:r>
        <w:rPr>
          <w:rFonts w:hint="eastAsia" w:ascii="仿宋" w:hAnsi="仿宋" w:eastAsia="仿宋" w:cs="仿宋"/>
          <w:color w:val="000000" w:themeColor="text1"/>
          <w:kern w:val="0"/>
          <w:sz w:val="32"/>
          <w:szCs w:val="32"/>
          <w:lang w:val="en-US" w:eastAsia="zh-CN"/>
          <w14:textFill>
            <w14:solidFill>
              <w14:schemeClr w14:val="tx1"/>
            </w14:solidFill>
          </w14:textFill>
        </w:rPr>
        <w:t>46.15</w:t>
      </w:r>
      <w:r>
        <w:rPr>
          <w:rFonts w:hint="eastAsia" w:ascii="仿宋" w:hAnsi="仿宋" w:eastAsia="仿宋" w:cs="仿宋"/>
          <w:color w:val="000000" w:themeColor="text1"/>
          <w:kern w:val="0"/>
          <w:sz w:val="32"/>
          <w:szCs w:val="32"/>
          <w14:textFill>
            <w14:solidFill>
              <w14:schemeClr w14:val="tx1"/>
            </w14:solidFill>
          </w14:textFill>
        </w:rPr>
        <w:t>万元，完成预算的</w:t>
      </w:r>
      <w:r>
        <w:rPr>
          <w:rFonts w:hint="eastAsia" w:ascii="仿宋" w:hAnsi="仿宋" w:eastAsia="仿宋" w:cs="仿宋"/>
          <w:color w:val="000000" w:themeColor="text1"/>
          <w:kern w:val="0"/>
          <w:sz w:val="32"/>
          <w:szCs w:val="32"/>
          <w:lang w:val="en-US" w:eastAsia="zh-CN"/>
          <w14:textFill>
            <w14:solidFill>
              <w14:schemeClr w14:val="tx1"/>
            </w14:solidFill>
          </w14:textFill>
        </w:rPr>
        <w:t>100</w:t>
      </w:r>
      <w:r>
        <w:rPr>
          <w:rFonts w:hint="eastAsia" w:ascii="仿宋" w:hAnsi="仿宋" w:eastAsia="仿宋" w:cs="仿宋"/>
          <w:color w:val="000000" w:themeColor="text1"/>
          <w:kern w:val="0"/>
          <w:sz w:val="32"/>
          <w:szCs w:val="32"/>
          <w14:textFill>
            <w14:solidFill>
              <w14:schemeClr w14:val="tx1"/>
            </w14:solidFill>
          </w14:textFill>
        </w:rPr>
        <w:t>%。项目绩效目标完成情况：一涉及受益村数：14</w:t>
      </w:r>
      <w:r>
        <w:rPr>
          <w:rFonts w:hint="eastAsia" w:ascii="仿宋" w:hAnsi="仿宋" w:eastAsia="仿宋" w:cs="仿宋"/>
          <w:color w:val="000000" w:themeColor="text1"/>
          <w:kern w:val="0"/>
          <w:sz w:val="32"/>
          <w:szCs w:val="32"/>
          <w:lang w:eastAsia="zh-CN"/>
          <w14:textFill>
            <w14:solidFill>
              <w14:schemeClr w14:val="tx1"/>
            </w14:solidFill>
          </w14:textFill>
        </w:rPr>
        <w:t>个</w:t>
      </w:r>
      <w:r>
        <w:rPr>
          <w:rFonts w:hint="eastAsia" w:ascii="仿宋" w:hAnsi="仿宋" w:eastAsia="仿宋" w:cs="仿宋"/>
          <w:color w:val="000000" w:themeColor="text1"/>
          <w:kern w:val="0"/>
          <w:sz w:val="32"/>
          <w:szCs w:val="32"/>
          <w14:textFill>
            <w14:solidFill>
              <w14:schemeClr w14:val="tx1"/>
            </w14:solidFill>
          </w14:textFill>
        </w:rPr>
        <w:t>；油菜花种植面积：145.29</w:t>
      </w:r>
      <w:r>
        <w:rPr>
          <w:rFonts w:hint="eastAsia" w:ascii="仿宋" w:hAnsi="仿宋" w:eastAsia="仿宋" w:cs="仿宋"/>
          <w:color w:val="000000" w:themeColor="text1"/>
          <w:kern w:val="0"/>
          <w:sz w:val="32"/>
          <w:szCs w:val="32"/>
          <w:lang w:eastAsia="zh-CN"/>
          <w14:textFill>
            <w14:solidFill>
              <w14:schemeClr w14:val="tx1"/>
            </w14:solidFill>
          </w14:textFill>
        </w:rPr>
        <w:t>亩</w:t>
      </w:r>
      <w:r>
        <w:rPr>
          <w:rFonts w:hint="eastAsia" w:ascii="仿宋" w:hAnsi="仿宋" w:eastAsia="仿宋" w:cs="仿宋"/>
          <w:color w:val="000000" w:themeColor="text1"/>
          <w:kern w:val="0"/>
          <w:sz w:val="32"/>
          <w:szCs w:val="32"/>
          <w14:textFill>
            <w14:solidFill>
              <w14:schemeClr w14:val="tx1"/>
            </w14:solidFill>
          </w14:textFill>
        </w:rPr>
        <w:t>；胡麻种植面积：262</w:t>
      </w:r>
      <w:r>
        <w:rPr>
          <w:rFonts w:hint="eastAsia" w:ascii="仿宋" w:hAnsi="仿宋" w:eastAsia="仿宋" w:cs="仿宋"/>
          <w:color w:val="000000" w:themeColor="text1"/>
          <w:kern w:val="0"/>
          <w:sz w:val="32"/>
          <w:szCs w:val="32"/>
          <w:lang w:eastAsia="zh-CN"/>
          <w14:textFill>
            <w14:solidFill>
              <w14:schemeClr w14:val="tx1"/>
            </w14:solidFill>
          </w14:textFill>
        </w:rPr>
        <w:t>亩</w:t>
      </w:r>
      <w:r>
        <w:rPr>
          <w:rFonts w:hint="eastAsia" w:ascii="仿宋" w:hAnsi="仿宋" w:eastAsia="仿宋" w:cs="仿宋"/>
          <w:color w:val="000000" w:themeColor="text1"/>
          <w:kern w:val="0"/>
          <w:sz w:val="32"/>
          <w:szCs w:val="32"/>
          <w14:textFill>
            <w14:solidFill>
              <w14:schemeClr w14:val="tx1"/>
            </w14:solidFill>
          </w14:textFill>
        </w:rPr>
        <w:t>；特色玉米种植面积：400</w:t>
      </w:r>
      <w:r>
        <w:rPr>
          <w:rFonts w:hint="eastAsia" w:ascii="仿宋" w:hAnsi="仿宋" w:eastAsia="仿宋" w:cs="仿宋"/>
          <w:color w:val="000000" w:themeColor="text1"/>
          <w:kern w:val="0"/>
          <w:sz w:val="32"/>
          <w:szCs w:val="32"/>
          <w:lang w:eastAsia="zh-CN"/>
          <w14:textFill>
            <w14:solidFill>
              <w14:schemeClr w14:val="tx1"/>
            </w14:solidFill>
          </w14:textFill>
        </w:rPr>
        <w:t>亩</w:t>
      </w:r>
      <w:r>
        <w:rPr>
          <w:rFonts w:hint="eastAsia" w:ascii="仿宋" w:hAnsi="仿宋" w:eastAsia="仿宋" w:cs="仿宋"/>
          <w:color w:val="000000" w:themeColor="text1"/>
          <w:kern w:val="0"/>
          <w:sz w:val="32"/>
          <w:szCs w:val="32"/>
          <w14:textFill>
            <w14:solidFill>
              <w14:schemeClr w14:val="tx1"/>
            </w14:solidFill>
          </w14:textFill>
        </w:rPr>
        <w:t>；“兴顺渊农林牧专业合作社：1500</w:t>
      </w:r>
      <w:r>
        <w:rPr>
          <w:rFonts w:hint="eastAsia" w:ascii="仿宋" w:hAnsi="仿宋" w:eastAsia="仿宋" w:cs="仿宋"/>
          <w:color w:val="000000" w:themeColor="text1"/>
          <w:kern w:val="0"/>
          <w:sz w:val="32"/>
          <w:szCs w:val="32"/>
          <w:lang w:eastAsia="zh-CN"/>
          <w14:textFill>
            <w14:solidFill>
              <w14:schemeClr w14:val="tx1"/>
            </w14:solidFill>
          </w14:textFill>
        </w:rPr>
        <w:t>亩</w:t>
      </w:r>
      <w:r>
        <w:rPr>
          <w:rFonts w:hint="eastAsia" w:ascii="仿宋" w:hAnsi="仿宋" w:eastAsia="仿宋" w:cs="仿宋"/>
          <w:color w:val="000000" w:themeColor="text1"/>
          <w:kern w:val="0"/>
          <w:sz w:val="32"/>
          <w:szCs w:val="32"/>
          <w14:textFill>
            <w14:solidFill>
              <w14:schemeClr w14:val="tx1"/>
            </w14:solidFill>
          </w14:textFill>
        </w:rPr>
        <w:t>；二当年每户收益：500</w:t>
      </w:r>
      <w:r>
        <w:rPr>
          <w:rFonts w:hint="eastAsia" w:ascii="仿宋" w:hAnsi="仿宋" w:eastAsia="仿宋" w:cs="仿宋"/>
          <w:color w:val="000000" w:themeColor="text1"/>
          <w:kern w:val="0"/>
          <w:sz w:val="32"/>
          <w:szCs w:val="32"/>
          <w:lang w:eastAsia="zh-CN"/>
          <w14:textFill>
            <w14:solidFill>
              <w14:schemeClr w14:val="tx1"/>
            </w14:solidFill>
          </w14:textFill>
        </w:rPr>
        <w:t>元</w:t>
      </w:r>
      <w:r>
        <w:rPr>
          <w:rFonts w:hint="eastAsia" w:ascii="仿宋" w:hAnsi="仿宋" w:eastAsia="仿宋" w:cs="仿宋"/>
          <w:color w:val="000000" w:themeColor="text1"/>
          <w:kern w:val="0"/>
          <w:sz w:val="32"/>
          <w:szCs w:val="32"/>
          <w14:textFill>
            <w14:solidFill>
              <w14:schemeClr w14:val="tx1"/>
            </w14:solidFill>
          </w14:textFill>
        </w:rPr>
        <w:t>；带动增加贫困人口全年总收入：11.75</w:t>
      </w:r>
      <w:r>
        <w:rPr>
          <w:rFonts w:hint="eastAsia" w:ascii="仿宋" w:hAnsi="仿宋" w:eastAsia="仿宋" w:cs="仿宋"/>
          <w:color w:val="000000" w:themeColor="text1"/>
          <w:kern w:val="0"/>
          <w:sz w:val="32"/>
          <w:szCs w:val="32"/>
          <w:lang w:eastAsia="zh-CN"/>
          <w14:textFill>
            <w14:solidFill>
              <w14:schemeClr w14:val="tx1"/>
            </w14:solidFill>
          </w14:textFill>
        </w:rPr>
        <w:t>万元</w:t>
      </w:r>
      <w:r>
        <w:rPr>
          <w:rFonts w:hint="eastAsia" w:ascii="仿宋" w:hAnsi="仿宋" w:eastAsia="仿宋" w:cs="仿宋"/>
          <w:color w:val="000000" w:themeColor="text1"/>
          <w:kern w:val="0"/>
          <w:sz w:val="32"/>
          <w:szCs w:val="32"/>
          <w14:textFill>
            <w14:solidFill>
              <w14:schemeClr w14:val="tx1"/>
            </w14:solidFill>
          </w14:textFill>
        </w:rPr>
        <w:t>；受益建档立卡贫困人口数：705</w:t>
      </w:r>
      <w:r>
        <w:rPr>
          <w:rFonts w:hint="eastAsia" w:ascii="仿宋" w:hAnsi="仿宋" w:eastAsia="仿宋" w:cs="仿宋"/>
          <w:color w:val="000000" w:themeColor="text1"/>
          <w:kern w:val="0"/>
          <w:sz w:val="32"/>
          <w:szCs w:val="32"/>
          <w:lang w:eastAsia="zh-CN"/>
          <w14:textFill>
            <w14:solidFill>
              <w14:schemeClr w14:val="tx1"/>
            </w14:solidFill>
          </w14:textFill>
        </w:rPr>
        <w:t>人</w:t>
      </w:r>
      <w:r>
        <w:rPr>
          <w:rFonts w:hint="eastAsia" w:ascii="仿宋" w:hAnsi="仿宋" w:eastAsia="仿宋" w:cs="仿宋"/>
          <w:color w:val="000000" w:themeColor="text1"/>
          <w:kern w:val="0"/>
          <w:sz w:val="32"/>
          <w:szCs w:val="32"/>
          <w14:textFill>
            <w14:solidFill>
              <w14:schemeClr w14:val="tx1"/>
            </w14:solidFill>
          </w14:textFill>
        </w:rPr>
        <w:t>；受益建档立卡贫困户：235</w:t>
      </w:r>
      <w:r>
        <w:rPr>
          <w:rFonts w:hint="eastAsia" w:ascii="仿宋" w:hAnsi="仿宋" w:eastAsia="仿宋" w:cs="仿宋"/>
          <w:color w:val="000000" w:themeColor="text1"/>
          <w:kern w:val="0"/>
          <w:sz w:val="32"/>
          <w:szCs w:val="32"/>
          <w:lang w:eastAsia="zh-CN"/>
          <w14:textFill>
            <w14:solidFill>
              <w14:schemeClr w14:val="tx1"/>
            </w14:solidFill>
          </w14:textFill>
        </w:rPr>
        <w:t>户</w:t>
      </w:r>
      <w:r>
        <w:rPr>
          <w:rFonts w:hint="eastAsia" w:ascii="仿宋" w:hAnsi="仿宋" w:eastAsia="仿宋" w:cs="仿宋"/>
          <w:color w:val="000000" w:themeColor="text1"/>
          <w:kern w:val="0"/>
          <w:sz w:val="32"/>
          <w:szCs w:val="32"/>
          <w14:textFill>
            <w14:solidFill>
              <w14:schemeClr w14:val="tx1"/>
            </w14:solidFill>
          </w14:textFill>
        </w:rPr>
        <w:t>。发现的主要问题及原因：一是工程验收合格率：85%；二是出苗成活率：90%。下一步改进措施：一是</w:t>
      </w:r>
      <w:r>
        <w:rPr>
          <w:rFonts w:hint="eastAsia" w:ascii="仿宋" w:hAnsi="仿宋" w:eastAsia="仿宋" w:cs="仿宋"/>
          <w:color w:val="000000" w:themeColor="text1"/>
          <w:kern w:val="0"/>
          <w:sz w:val="32"/>
          <w:szCs w:val="32"/>
          <w:lang w:eastAsia="zh-CN"/>
          <w14:textFill>
            <w14:solidFill>
              <w14:schemeClr w14:val="tx1"/>
            </w14:solidFill>
          </w14:textFill>
        </w:rPr>
        <w:t>培训村民培苗育苗技术提高出苗成活率</w:t>
      </w:r>
      <w:r>
        <w:rPr>
          <w:rFonts w:hint="eastAsia" w:ascii="仿宋" w:hAnsi="仿宋" w:eastAsia="仿宋" w:cs="仿宋"/>
          <w:color w:val="000000" w:themeColor="text1"/>
          <w:kern w:val="0"/>
          <w:sz w:val="32"/>
          <w:szCs w:val="32"/>
          <w14:textFill>
            <w14:solidFill>
              <w14:schemeClr w14:val="tx1"/>
            </w14:solidFill>
          </w14:textFill>
        </w:rPr>
        <w:t>；二是</w:t>
      </w:r>
      <w:r>
        <w:rPr>
          <w:rFonts w:hint="eastAsia" w:ascii="仿宋" w:hAnsi="仿宋" w:eastAsia="仿宋" w:cs="仿宋"/>
          <w:color w:val="000000" w:themeColor="text1"/>
          <w:kern w:val="0"/>
          <w:sz w:val="32"/>
          <w:szCs w:val="32"/>
          <w:lang w:eastAsia="zh-CN"/>
          <w14:textFill>
            <w14:solidFill>
              <w14:schemeClr w14:val="tx1"/>
            </w14:solidFill>
          </w14:textFill>
        </w:rPr>
        <w:t>加大土地质量改善，更易于经济作物及特色种植</w:t>
      </w:r>
      <w:r>
        <w:rPr>
          <w:rFonts w:hint="eastAsia" w:ascii="仿宋" w:hAnsi="仿宋" w:eastAsia="仿宋" w:cs="仿宋"/>
          <w:color w:val="000000" w:themeColor="text1"/>
          <w:kern w:val="0"/>
          <w:sz w:val="32"/>
          <w:szCs w:val="32"/>
          <w14:textFill>
            <w14:solidFill>
              <w14:schemeClr w14:val="tx1"/>
            </w14:solidFill>
          </w14:textFill>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2021年王庄堡镇中小药材种植补贴项目绩效自评综述：根据年初设定的绩效目标，项目自评得分为</w:t>
      </w:r>
      <w:r>
        <w:rPr>
          <w:rFonts w:hint="eastAsia" w:ascii="仿宋" w:hAnsi="仿宋" w:eastAsia="仿宋" w:cs="仿宋"/>
          <w:color w:val="000000" w:themeColor="text1"/>
          <w:kern w:val="0"/>
          <w:sz w:val="32"/>
          <w:szCs w:val="32"/>
          <w:lang w:val="en-US" w:eastAsia="zh-CN"/>
          <w14:textFill>
            <w14:solidFill>
              <w14:schemeClr w14:val="tx1"/>
            </w14:solidFill>
          </w14:textFill>
        </w:rPr>
        <w:t>100</w:t>
      </w:r>
      <w:r>
        <w:rPr>
          <w:rFonts w:hint="eastAsia" w:ascii="仿宋" w:hAnsi="仿宋" w:eastAsia="仿宋" w:cs="仿宋"/>
          <w:color w:val="000000" w:themeColor="text1"/>
          <w:kern w:val="0"/>
          <w:sz w:val="32"/>
          <w:szCs w:val="32"/>
          <w14:textFill>
            <w14:solidFill>
              <w14:schemeClr w14:val="tx1"/>
            </w14:solidFill>
          </w14:textFill>
        </w:rPr>
        <w:t>分。全年预算数为</w:t>
      </w:r>
      <w:r>
        <w:rPr>
          <w:rFonts w:hint="eastAsia" w:ascii="仿宋" w:hAnsi="仿宋" w:eastAsia="仿宋" w:cs="仿宋"/>
          <w:color w:val="000000" w:themeColor="text1"/>
          <w:kern w:val="0"/>
          <w:sz w:val="32"/>
          <w:szCs w:val="32"/>
          <w:lang w:val="en-US" w:eastAsia="zh-CN"/>
          <w14:textFill>
            <w14:solidFill>
              <w14:schemeClr w14:val="tx1"/>
            </w14:solidFill>
          </w14:textFill>
        </w:rPr>
        <w:t>112.12</w:t>
      </w:r>
      <w:r>
        <w:rPr>
          <w:rFonts w:hint="eastAsia" w:ascii="仿宋" w:hAnsi="仿宋" w:eastAsia="仿宋" w:cs="仿宋"/>
          <w:color w:val="000000" w:themeColor="text1"/>
          <w:kern w:val="0"/>
          <w:sz w:val="32"/>
          <w:szCs w:val="32"/>
          <w14:textFill>
            <w14:solidFill>
              <w14:schemeClr w14:val="tx1"/>
            </w14:solidFill>
          </w14:textFill>
        </w:rPr>
        <w:t>万元，执行数为</w:t>
      </w:r>
      <w:r>
        <w:rPr>
          <w:rFonts w:hint="eastAsia" w:ascii="仿宋" w:hAnsi="仿宋" w:eastAsia="仿宋" w:cs="仿宋"/>
          <w:color w:val="000000" w:themeColor="text1"/>
          <w:kern w:val="0"/>
          <w:sz w:val="32"/>
          <w:szCs w:val="32"/>
          <w:lang w:val="en-US" w:eastAsia="zh-CN"/>
          <w14:textFill>
            <w14:solidFill>
              <w14:schemeClr w14:val="tx1"/>
            </w14:solidFill>
          </w14:textFill>
        </w:rPr>
        <w:t>112.12</w:t>
      </w:r>
      <w:r>
        <w:rPr>
          <w:rFonts w:hint="eastAsia" w:ascii="仿宋" w:hAnsi="仿宋" w:eastAsia="仿宋" w:cs="仿宋"/>
          <w:color w:val="000000" w:themeColor="text1"/>
          <w:kern w:val="0"/>
          <w:sz w:val="32"/>
          <w:szCs w:val="32"/>
          <w14:textFill>
            <w14:solidFill>
              <w14:schemeClr w14:val="tx1"/>
            </w14:solidFill>
          </w14:textFill>
        </w:rPr>
        <w:t>万元，完成预算的</w:t>
      </w:r>
      <w:r>
        <w:rPr>
          <w:rFonts w:hint="eastAsia" w:ascii="仿宋" w:hAnsi="仿宋" w:eastAsia="仿宋" w:cs="仿宋"/>
          <w:color w:val="000000" w:themeColor="text1"/>
          <w:kern w:val="0"/>
          <w:sz w:val="32"/>
          <w:szCs w:val="32"/>
          <w:lang w:val="en-US" w:eastAsia="zh-CN"/>
          <w14:textFill>
            <w14:solidFill>
              <w14:schemeClr w14:val="tx1"/>
            </w14:solidFill>
          </w14:textFill>
        </w:rPr>
        <w:t>100</w:t>
      </w:r>
      <w:r>
        <w:rPr>
          <w:rFonts w:hint="eastAsia" w:ascii="仿宋" w:hAnsi="仿宋" w:eastAsia="仿宋" w:cs="仿宋"/>
          <w:color w:val="000000" w:themeColor="text1"/>
          <w:kern w:val="0"/>
          <w:sz w:val="32"/>
          <w:szCs w:val="32"/>
          <w14:textFill>
            <w14:solidFill>
              <w14:schemeClr w14:val="tx1"/>
            </w14:solidFill>
          </w14:textFill>
        </w:rPr>
        <w:t>%。项目绩效目标完成情况：一是黄芪种植：506.70；黄岑种植：38；柴胡种植：856.74；二是补助标准：800；三年后每户收益：1500；带动增加贫困人口全年总收入：42.15；受益建档立卡贫困人口数：700。发现的主要问题及原因：一</w:t>
      </w:r>
      <w:r>
        <w:rPr>
          <w:rFonts w:hint="eastAsia" w:ascii="仿宋" w:hAnsi="仿宋" w:eastAsia="仿宋" w:cs="仿宋"/>
          <w:color w:val="000000" w:themeColor="text1"/>
          <w:kern w:val="0"/>
          <w:sz w:val="32"/>
          <w:szCs w:val="32"/>
          <w:lang w:eastAsia="zh-CN"/>
          <w14:textFill>
            <w14:solidFill>
              <w14:schemeClr w14:val="tx1"/>
            </w14:solidFill>
          </w14:textFill>
        </w:rPr>
        <w:t>是出苗成活率中上工程验收合格率不是太高</w:t>
      </w:r>
      <w:r>
        <w:rPr>
          <w:rFonts w:hint="eastAsia" w:ascii="仿宋" w:hAnsi="仿宋" w:eastAsia="仿宋" w:cs="仿宋"/>
          <w:color w:val="000000" w:themeColor="text1"/>
          <w:kern w:val="0"/>
          <w:sz w:val="32"/>
          <w:szCs w:val="32"/>
          <w14:textFill>
            <w14:solidFill>
              <w14:schemeClr w14:val="tx1"/>
            </w14:solidFill>
          </w14:textFill>
        </w:rPr>
        <w:t>；二是</w:t>
      </w:r>
      <w:r>
        <w:rPr>
          <w:rFonts w:hint="eastAsia" w:ascii="仿宋" w:hAnsi="仿宋" w:eastAsia="仿宋" w:cs="仿宋"/>
          <w:color w:val="000000" w:themeColor="text1"/>
          <w:kern w:val="0"/>
          <w:sz w:val="32"/>
          <w:szCs w:val="32"/>
          <w:lang w:eastAsia="zh-CN"/>
          <w14:textFill>
            <w14:solidFill>
              <w14:schemeClr w14:val="tx1"/>
            </w14:solidFill>
          </w14:textFill>
        </w:rPr>
        <w:t>收益年数较长</w:t>
      </w:r>
      <w:r>
        <w:rPr>
          <w:rFonts w:hint="eastAsia" w:ascii="仿宋" w:hAnsi="仿宋" w:eastAsia="仿宋" w:cs="仿宋"/>
          <w:color w:val="000000" w:themeColor="text1"/>
          <w:kern w:val="0"/>
          <w:sz w:val="32"/>
          <w:szCs w:val="32"/>
          <w14:textFill>
            <w14:solidFill>
              <w14:schemeClr w14:val="tx1"/>
            </w14:solidFill>
          </w14:textFill>
        </w:rPr>
        <w:t>。下一步改进措施：一是</w:t>
      </w:r>
      <w:r>
        <w:rPr>
          <w:rFonts w:hint="eastAsia" w:ascii="仿宋" w:hAnsi="仿宋" w:eastAsia="仿宋" w:cs="仿宋"/>
          <w:color w:val="000000" w:themeColor="text1"/>
          <w:kern w:val="0"/>
          <w:sz w:val="32"/>
          <w:szCs w:val="32"/>
          <w:lang w:eastAsia="zh-CN"/>
          <w14:textFill>
            <w14:solidFill>
              <w14:schemeClr w14:val="tx1"/>
            </w14:solidFill>
          </w14:textFill>
        </w:rPr>
        <w:t>加大力度对没有出苗的中小药材进行补植</w:t>
      </w:r>
      <w:r>
        <w:rPr>
          <w:rFonts w:hint="eastAsia" w:ascii="仿宋" w:hAnsi="仿宋" w:eastAsia="仿宋" w:cs="仿宋"/>
          <w:color w:val="000000" w:themeColor="text1"/>
          <w:kern w:val="0"/>
          <w:sz w:val="32"/>
          <w:szCs w:val="32"/>
          <w14:textFill>
            <w14:solidFill>
              <w14:schemeClr w14:val="tx1"/>
            </w14:solidFill>
          </w14:textFill>
        </w:rPr>
        <w:t>；二是</w:t>
      </w:r>
      <w:r>
        <w:rPr>
          <w:rFonts w:hint="eastAsia" w:ascii="仿宋" w:hAnsi="仿宋" w:eastAsia="仿宋" w:cs="仿宋"/>
          <w:color w:val="000000" w:themeColor="text1"/>
          <w:kern w:val="0"/>
          <w:sz w:val="32"/>
          <w:szCs w:val="32"/>
          <w:lang w:eastAsia="zh-CN"/>
          <w14:textFill>
            <w14:solidFill>
              <w14:schemeClr w14:val="tx1"/>
            </w14:solidFill>
          </w14:textFill>
        </w:rPr>
        <w:t>在中小药材生长过程中对其进行养护，防止由于外界因素发生的损毁</w:t>
      </w:r>
      <w:r>
        <w:rPr>
          <w:rFonts w:hint="eastAsia" w:ascii="仿宋" w:hAnsi="仿宋" w:eastAsia="仿宋" w:cs="仿宋"/>
          <w:color w:val="000000" w:themeColor="text1"/>
          <w:kern w:val="0"/>
          <w:sz w:val="32"/>
          <w:szCs w:val="32"/>
          <w14:textFill>
            <w14:solidFill>
              <w14:schemeClr w14:val="tx1"/>
            </w14:solidFill>
          </w14:textFill>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2021年王庄堡镇小杂粮补贴项目绩效自评综述：根据年初设定的绩效目标，项目自评得分为</w:t>
      </w:r>
      <w:r>
        <w:rPr>
          <w:rFonts w:hint="eastAsia" w:ascii="仿宋" w:hAnsi="仿宋" w:eastAsia="仿宋" w:cs="仿宋"/>
          <w:color w:val="000000" w:themeColor="text1"/>
          <w:kern w:val="0"/>
          <w:sz w:val="32"/>
          <w:szCs w:val="32"/>
          <w:lang w:val="en-US" w:eastAsia="zh-CN"/>
          <w14:textFill>
            <w14:solidFill>
              <w14:schemeClr w14:val="tx1"/>
            </w14:solidFill>
          </w14:textFill>
        </w:rPr>
        <w:t>100</w:t>
      </w:r>
      <w:r>
        <w:rPr>
          <w:rFonts w:hint="eastAsia" w:ascii="仿宋" w:hAnsi="仿宋" w:eastAsia="仿宋" w:cs="仿宋"/>
          <w:color w:val="000000" w:themeColor="text1"/>
          <w:kern w:val="0"/>
          <w:sz w:val="32"/>
          <w:szCs w:val="32"/>
          <w14:textFill>
            <w14:solidFill>
              <w14:schemeClr w14:val="tx1"/>
            </w14:solidFill>
          </w14:textFill>
        </w:rPr>
        <w:t>分。全年预算数为</w:t>
      </w:r>
      <w:r>
        <w:rPr>
          <w:rFonts w:hint="eastAsia" w:ascii="仿宋" w:hAnsi="仿宋" w:eastAsia="仿宋" w:cs="仿宋"/>
          <w:color w:val="000000" w:themeColor="text1"/>
          <w:kern w:val="0"/>
          <w:sz w:val="32"/>
          <w:szCs w:val="32"/>
          <w:lang w:val="en-US" w:eastAsia="zh-CN"/>
          <w14:textFill>
            <w14:solidFill>
              <w14:schemeClr w14:val="tx1"/>
            </w14:solidFill>
          </w14:textFill>
        </w:rPr>
        <w:t>55.14</w:t>
      </w:r>
      <w:r>
        <w:rPr>
          <w:rFonts w:hint="eastAsia" w:ascii="仿宋" w:hAnsi="仿宋" w:eastAsia="仿宋" w:cs="仿宋"/>
          <w:color w:val="000000" w:themeColor="text1"/>
          <w:kern w:val="0"/>
          <w:sz w:val="32"/>
          <w:szCs w:val="32"/>
          <w14:textFill>
            <w14:solidFill>
              <w14:schemeClr w14:val="tx1"/>
            </w14:solidFill>
          </w14:textFill>
        </w:rPr>
        <w:t>万元，执行数为</w:t>
      </w:r>
      <w:r>
        <w:rPr>
          <w:rFonts w:hint="eastAsia" w:ascii="仿宋" w:hAnsi="仿宋" w:eastAsia="仿宋" w:cs="仿宋"/>
          <w:color w:val="000000" w:themeColor="text1"/>
          <w:kern w:val="0"/>
          <w:sz w:val="32"/>
          <w:szCs w:val="32"/>
          <w:lang w:val="en-US" w:eastAsia="zh-CN"/>
          <w14:textFill>
            <w14:solidFill>
              <w14:schemeClr w14:val="tx1"/>
            </w14:solidFill>
          </w14:textFill>
        </w:rPr>
        <w:t>55.14</w:t>
      </w:r>
      <w:r>
        <w:rPr>
          <w:rFonts w:hint="eastAsia" w:ascii="仿宋" w:hAnsi="仿宋" w:eastAsia="仿宋" w:cs="仿宋"/>
          <w:color w:val="000000" w:themeColor="text1"/>
          <w:kern w:val="0"/>
          <w:sz w:val="32"/>
          <w:szCs w:val="32"/>
          <w14:textFill>
            <w14:solidFill>
              <w14:schemeClr w14:val="tx1"/>
            </w14:solidFill>
          </w14:textFill>
        </w:rPr>
        <w:t>万元，完成预算的</w:t>
      </w:r>
      <w:r>
        <w:rPr>
          <w:rFonts w:hint="eastAsia" w:ascii="仿宋" w:hAnsi="仿宋" w:eastAsia="仿宋" w:cs="仿宋"/>
          <w:color w:val="000000" w:themeColor="text1"/>
          <w:kern w:val="0"/>
          <w:sz w:val="32"/>
          <w:szCs w:val="32"/>
          <w:lang w:val="en-US" w:eastAsia="zh-CN"/>
          <w14:textFill>
            <w14:solidFill>
              <w14:schemeClr w14:val="tx1"/>
            </w14:solidFill>
          </w14:textFill>
        </w:rPr>
        <w:t>100</w:t>
      </w:r>
      <w:r>
        <w:rPr>
          <w:rFonts w:hint="eastAsia" w:ascii="仿宋" w:hAnsi="仿宋" w:eastAsia="仿宋" w:cs="仿宋"/>
          <w:color w:val="000000" w:themeColor="text1"/>
          <w:kern w:val="0"/>
          <w:sz w:val="32"/>
          <w:szCs w:val="32"/>
          <w14:textFill>
            <w14:solidFill>
              <w14:schemeClr w14:val="tx1"/>
            </w14:solidFill>
          </w14:textFill>
        </w:rPr>
        <w:t>%。项目绩效目标完成情况：一是涉及收益村数：24；种植高粱：1257.49；种植红芸豆1499.71；二是补助标准：200；当年每户收益：500；带动增加贫困人口全年总收入：27.60；收益建档立卡贫困人口数：1380；受益建档立卡贫困户：552。发现的主要问题及原因：一是</w:t>
      </w:r>
      <w:r>
        <w:rPr>
          <w:rFonts w:hint="eastAsia" w:ascii="仿宋" w:hAnsi="仿宋" w:eastAsia="仿宋" w:cs="仿宋"/>
          <w:color w:val="000000" w:themeColor="text1"/>
          <w:kern w:val="0"/>
          <w:sz w:val="32"/>
          <w:szCs w:val="32"/>
          <w:lang w:eastAsia="zh-CN"/>
          <w14:textFill>
            <w14:solidFill>
              <w14:schemeClr w14:val="tx1"/>
            </w14:solidFill>
          </w14:textFill>
        </w:rPr>
        <w:t>种植亩数较大，管护及养护难度提高</w:t>
      </w:r>
      <w:r>
        <w:rPr>
          <w:rFonts w:hint="eastAsia" w:ascii="仿宋" w:hAnsi="仿宋" w:eastAsia="仿宋" w:cs="仿宋"/>
          <w:color w:val="000000" w:themeColor="text1"/>
          <w:kern w:val="0"/>
          <w:sz w:val="32"/>
          <w:szCs w:val="32"/>
          <w14:textFill>
            <w14:solidFill>
              <w14:schemeClr w14:val="tx1"/>
            </w14:solidFill>
          </w14:textFill>
        </w:rPr>
        <w:t>；二是</w:t>
      </w:r>
      <w:r>
        <w:rPr>
          <w:rFonts w:hint="eastAsia" w:ascii="仿宋" w:hAnsi="仿宋" w:eastAsia="仿宋" w:cs="仿宋"/>
          <w:color w:val="000000" w:themeColor="text1"/>
          <w:kern w:val="0"/>
          <w:sz w:val="32"/>
          <w:szCs w:val="32"/>
          <w:lang w:eastAsia="zh-CN"/>
          <w14:textFill>
            <w14:solidFill>
              <w14:schemeClr w14:val="tx1"/>
            </w14:solidFill>
          </w14:textFill>
        </w:rPr>
        <w:t>种植数量较多，可能受到鸟类破坏</w:t>
      </w:r>
      <w:r>
        <w:rPr>
          <w:rFonts w:hint="eastAsia" w:ascii="仿宋" w:hAnsi="仿宋" w:eastAsia="仿宋" w:cs="仿宋"/>
          <w:color w:val="000000" w:themeColor="text1"/>
          <w:kern w:val="0"/>
          <w:sz w:val="32"/>
          <w:szCs w:val="32"/>
          <w14:textFill>
            <w14:solidFill>
              <w14:schemeClr w14:val="tx1"/>
            </w14:solidFill>
          </w14:textFill>
        </w:rPr>
        <w:t>。下一步改进措施：一是</w:t>
      </w:r>
      <w:r>
        <w:rPr>
          <w:rFonts w:hint="eastAsia" w:ascii="仿宋" w:hAnsi="仿宋" w:eastAsia="仿宋" w:cs="仿宋"/>
          <w:color w:val="000000" w:themeColor="text1"/>
          <w:kern w:val="0"/>
          <w:sz w:val="32"/>
          <w:szCs w:val="32"/>
          <w:lang w:eastAsia="zh-CN"/>
          <w14:textFill>
            <w14:solidFill>
              <w14:schemeClr w14:val="tx1"/>
            </w14:solidFill>
          </w14:textFill>
        </w:rPr>
        <w:t>加大人员培训力度，增长管护养护力度</w:t>
      </w:r>
      <w:r>
        <w:rPr>
          <w:rFonts w:hint="eastAsia" w:ascii="仿宋" w:hAnsi="仿宋" w:eastAsia="仿宋" w:cs="仿宋"/>
          <w:color w:val="000000" w:themeColor="text1"/>
          <w:kern w:val="0"/>
          <w:sz w:val="32"/>
          <w:szCs w:val="32"/>
          <w14:textFill>
            <w14:solidFill>
              <w14:schemeClr w14:val="tx1"/>
            </w14:solidFill>
          </w14:textFill>
        </w:rPr>
        <w:t>；二是</w:t>
      </w:r>
      <w:r>
        <w:rPr>
          <w:rFonts w:hint="eastAsia" w:ascii="仿宋" w:hAnsi="仿宋" w:eastAsia="仿宋" w:cs="仿宋"/>
          <w:color w:val="000000" w:themeColor="text1"/>
          <w:kern w:val="0"/>
          <w:sz w:val="32"/>
          <w:szCs w:val="32"/>
          <w:lang w:eastAsia="zh-CN"/>
          <w14:textFill>
            <w14:solidFill>
              <w14:schemeClr w14:val="tx1"/>
            </w14:solidFill>
          </w14:textFill>
        </w:rPr>
        <w:t>配备一定的设备对其进行保护，防止鸟类对其的破坏</w:t>
      </w:r>
      <w:r>
        <w:rPr>
          <w:rFonts w:hint="eastAsia" w:ascii="仿宋" w:hAnsi="仿宋" w:eastAsia="仿宋" w:cs="仿宋"/>
          <w:color w:val="000000" w:themeColor="text1"/>
          <w:kern w:val="0"/>
          <w:sz w:val="32"/>
          <w:szCs w:val="32"/>
          <w14:textFill>
            <w14:solidFill>
              <w14:schemeClr w14:val="tx1"/>
            </w14:solidFill>
          </w14:textFill>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bookmarkStart w:id="0" w:name="_GoBack"/>
      <w:bookmarkEnd w:id="0"/>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ind w:left="4160" w:hanging="4160" w:hangingChars="13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浑源县王庄堡镇人民政府</w:t>
      </w:r>
    </w:p>
    <w:p>
      <w:pPr>
        <w:ind w:firstLine="4480" w:firstLineChars="14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AB038C"/>
    <w:multiLevelType w:val="singleLevel"/>
    <w:tmpl w:val="81AB038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E0NWE1OTg3Mjk5MzBhMTM2NjE5ZTkzYWQzMGI2NDAifQ=="/>
  </w:docVars>
  <w:rsids>
    <w:rsidRoot w:val="00000000"/>
    <w:rsid w:val="1B4329E4"/>
    <w:rsid w:val="2FB7080F"/>
    <w:rsid w:val="41CC4A5F"/>
    <w:rsid w:val="41D33585"/>
    <w:rsid w:val="53FD20A9"/>
    <w:rsid w:val="5D046573"/>
    <w:rsid w:val="7B0D7D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customStyle="1" w:styleId="5">
    <w:name w:val="无间隔1"/>
    <w:qFormat/>
    <w:uiPriority w:val="99"/>
    <w:pPr>
      <w:ind w:firstLine="200" w:firstLineChars="200"/>
    </w:pPr>
    <w:rPr>
      <w:rFonts w:ascii="Times New Roman" w:hAnsi="Times New Roman" w:eastAsia="仿宋_GB2312" w:cs="Times New Roman"/>
      <w:sz w:val="30"/>
      <w:szCs w:val="22"/>
      <w:lang w:val="en-US" w:eastAsia="zh-CN" w:bidi="ar-SA"/>
    </w:rPr>
  </w:style>
  <w:style w:type="paragraph" w:customStyle="1" w:styleId="6">
    <w:name w:val="No Spacing"/>
    <w:qFormat/>
    <w:uiPriority w:val="99"/>
    <w:pPr>
      <w:ind w:firstLine="200" w:firstLineChars="200"/>
    </w:pPr>
    <w:rPr>
      <w:rFonts w:ascii="Times New Roman" w:hAnsi="Times New Roman" w:eastAsia="仿宋_GB2312" w:cs="Times New Roman"/>
      <w:sz w:val="30"/>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3819</Words>
  <Characters>4165</Characters>
  <Lines>0</Lines>
  <Paragraphs>0</Paragraphs>
  <TotalTime>9</TotalTime>
  <ScaleCrop>false</ScaleCrop>
  <LinksUpToDate>false</LinksUpToDate>
  <CharactersWithSpaces>4302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2022-07-18T03:08:43Z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1A8BD92F48B74AC0B1731E2C2F5AAFD0</vt:lpwstr>
  </property>
</Properties>
</file>